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EA5F31">
      <w:pPr>
        <w:tabs>
          <w:tab w:val="left" w:leader="underscore" w:pos="9639"/>
        </w:tabs>
        <w:spacing w:after="0" w:line="240" w:lineRule="auto"/>
        <w:ind w:left="9639" w:hanging="9639"/>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1E45B06E" w:rsidR="007D1E76" w:rsidRPr="00E74967" w:rsidRDefault="00204CB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E74AF14" w14:textId="1027A2E7" w:rsidR="00DC3A1F" w:rsidRDefault="00DC3A1F" w:rsidP="00DC3A1F">
      <w:pPr>
        <w:spacing w:after="100" w:afterAutospacing="1"/>
        <w:jc w:val="both"/>
        <w:rPr>
          <w:rFonts w:ascii="Arial" w:hAnsi="Arial" w:cs="Arial"/>
          <w:sz w:val="20"/>
          <w:szCs w:val="20"/>
        </w:rPr>
      </w:pPr>
    </w:p>
    <w:p w14:paraId="59FFF1F4"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Los Estados Financieros de los entes públicos, proveen de información financiera a los principales usuarios de la misma,</w:t>
      </w:r>
      <w:r>
        <w:rPr>
          <w:rFonts w:ascii="Arial" w:hAnsi="Arial" w:cs="Arial"/>
          <w:sz w:val="20"/>
          <w:szCs w:val="20"/>
        </w:rPr>
        <w:t xml:space="preserve"> al Congreso y a los ciudadanos.</w:t>
      </w:r>
    </w:p>
    <w:p w14:paraId="4AF20497"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E62429">
        <w:rPr>
          <w:rFonts w:ascii="Arial" w:hAnsi="Arial" w:cs="Arial"/>
          <w:sz w:val="20"/>
          <w:szCs w:val="20"/>
        </w:rPr>
        <w:tab/>
      </w:r>
    </w:p>
    <w:p w14:paraId="41A704B9"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3F6D0E51"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b/>
          <w:sz w:val="20"/>
          <w:szCs w:val="20"/>
        </w:rPr>
        <w:t>1. Una introducción:</w:t>
      </w:r>
      <w:r w:rsidRPr="00E62429">
        <w:rPr>
          <w:rFonts w:ascii="Arial" w:hAnsi="Arial" w:cs="Arial"/>
          <w:sz w:val="20"/>
          <w:szCs w:val="20"/>
        </w:rPr>
        <w:tab/>
      </w:r>
    </w:p>
    <w:p w14:paraId="55CAFC7C"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14:paraId="674510B0"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14:paraId="5F9E2280"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14:paraId="509E7E49" w14:textId="77777777" w:rsidR="00AC6275" w:rsidRPr="00E62429" w:rsidRDefault="00AC6275" w:rsidP="00AC6275">
      <w:pPr>
        <w:spacing w:after="100" w:afterAutospacing="1"/>
        <w:jc w:val="both"/>
        <w:rPr>
          <w:rFonts w:ascii="Arial" w:hAnsi="Arial" w:cs="Arial"/>
          <w:sz w:val="20"/>
          <w:szCs w:val="20"/>
        </w:rPr>
      </w:pPr>
      <w:r>
        <w:rPr>
          <w:rFonts w:ascii="Arial" w:hAnsi="Arial" w:cs="Arial"/>
          <w:sz w:val="20"/>
          <w:szCs w:val="20"/>
        </w:rPr>
        <w:lastRenderedPageBreak/>
        <w:t>A veintisiete</w:t>
      </w:r>
      <w:r w:rsidRPr="00E62429">
        <w:rPr>
          <w:rFonts w:ascii="Arial" w:hAnsi="Arial" w:cs="Arial"/>
          <w:sz w:val="20"/>
          <w:szCs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14:paraId="6B5FA509"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Con base a lo descrito y de conformidad con lo establecido en nuestro marco técnico normativo, corresponde a la UTNG formular la planeación de su desarrollo, con el fin de orientar las acciones necesarias para el cumplimiento de sus fines.</w:t>
      </w:r>
    </w:p>
    <w:p w14:paraId="4F4B4766"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 partir de un ejercicio participativo, en el cual se tomaron en consideración distintitos documentos tales como el 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14:paraId="15FEFB15" w14:textId="77777777" w:rsidR="00AC6275"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El presente documento describe a través de sus distintos capítulos la semblanza histórica de la institución y su entorno, así como la prospectiva y calendarización de los objetivos planteados para su desarrollo. </w:t>
      </w:r>
    </w:p>
    <w:p w14:paraId="71F32519"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2. Describir el panorama Económico y Financiero:</w:t>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r w:rsidRPr="00E62429">
        <w:rPr>
          <w:rFonts w:ascii="Arial" w:hAnsi="Arial" w:cs="Arial"/>
          <w:b/>
          <w:sz w:val="20"/>
          <w:szCs w:val="20"/>
        </w:rPr>
        <w:tab/>
      </w:r>
    </w:p>
    <w:p w14:paraId="17E3336F"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14:paraId="0238ECD7"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3. Autorización e Historia: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5CE29A78"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 Fecha de creación del ente.</w:t>
      </w:r>
    </w:p>
    <w:p w14:paraId="7C4CC76F" w14:textId="77777777" w:rsidR="00AC6275" w:rsidRPr="00E62429" w:rsidRDefault="00AC6275" w:rsidP="00AC6275">
      <w:pPr>
        <w:pStyle w:val="NormalArial"/>
        <w:spacing w:after="100" w:afterAutospacing="1"/>
        <w:jc w:val="both"/>
        <w:rPr>
          <w:b w:val="0"/>
          <w:sz w:val="20"/>
          <w:szCs w:val="20"/>
          <w:lang w:val="es-MX"/>
        </w:rPr>
      </w:pPr>
      <w:r w:rsidRPr="00E62429">
        <w:rPr>
          <w:b w:val="0"/>
          <w:snapToGrid w:val="0"/>
          <w:sz w:val="20"/>
          <w:szCs w:val="20"/>
        </w:rPr>
        <w:t>La</w:t>
      </w:r>
      <w:r w:rsidRPr="00E62429">
        <w:rPr>
          <w:b w:val="0"/>
          <w:snapToGrid w:val="0"/>
          <w:sz w:val="20"/>
          <w:szCs w:val="20"/>
          <w:lang w:val="es-ES_tradnl"/>
        </w:rPr>
        <w:t xml:space="preserve"> creación de la Universidad Tecnológica del Norte de Guanajuato con sede en Dolores Hidalgo C.I.N., </w:t>
      </w:r>
      <w:proofErr w:type="spellStart"/>
      <w:r w:rsidRPr="00E62429">
        <w:rPr>
          <w:b w:val="0"/>
          <w:snapToGrid w:val="0"/>
          <w:sz w:val="20"/>
          <w:szCs w:val="20"/>
          <w:lang w:val="es-ES_tradnl"/>
        </w:rPr>
        <w:t>Gto</w:t>
      </w:r>
      <w:proofErr w:type="spellEnd"/>
      <w:r w:rsidRPr="00E62429">
        <w:rPr>
          <w:b w:val="0"/>
          <w:snapToGrid w:val="0"/>
          <w:sz w:val="20"/>
          <w:szCs w:val="20"/>
          <w:lang w:val="es-ES_tradnl"/>
        </w:rPr>
        <w:t xml:space="preserve">.,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w:t>
      </w:r>
      <w:proofErr w:type="spellStart"/>
      <w:r w:rsidRPr="00E62429">
        <w:rPr>
          <w:b w:val="0"/>
          <w:snapToGrid w:val="0"/>
          <w:sz w:val="20"/>
          <w:szCs w:val="20"/>
          <w:lang w:val="es-ES_tradnl"/>
        </w:rPr>
        <w:t>UT’s</w:t>
      </w:r>
      <w:proofErr w:type="spellEnd"/>
      <w:r w:rsidRPr="00E62429">
        <w:rPr>
          <w:b w:val="0"/>
          <w:snapToGrid w:val="0"/>
          <w:sz w:val="20"/>
          <w:szCs w:val="20"/>
          <w:lang w:val="es-ES_tradnl"/>
        </w:rPr>
        <w:t xml:space="preserve"> denominadas de segunda generación,</w:t>
      </w:r>
      <w:r w:rsidRPr="00E62429">
        <w:rPr>
          <w:b w:val="0"/>
          <w:snapToGrid w:val="0"/>
          <w:sz w:val="20"/>
          <w:szCs w:val="20"/>
        </w:rPr>
        <w:t xml:space="preserve"> dicho decreto fue abrogado en julio de 1999 por el No. 130, mismo que fue reestructurado por medio del Decreto Gubernativo 30 en junio de 2000; finalmente, </w:t>
      </w:r>
      <w:r w:rsidRPr="00E62429">
        <w:rPr>
          <w:b w:val="0"/>
          <w:sz w:val="20"/>
          <w:szCs w:val="20"/>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14:paraId="288BD600" w14:textId="77777777" w:rsidR="00AC6275" w:rsidRPr="00E62429" w:rsidRDefault="00AC6275" w:rsidP="00AC6275">
      <w:pPr>
        <w:pStyle w:val="NormalArial"/>
        <w:spacing w:after="100" w:afterAutospacing="1"/>
        <w:jc w:val="both"/>
        <w:rPr>
          <w:b w:val="0"/>
          <w:snapToGrid w:val="0"/>
          <w:sz w:val="20"/>
          <w:szCs w:val="20"/>
          <w:lang w:val="es-ES_tradnl"/>
        </w:rPr>
      </w:pPr>
      <w:r w:rsidRPr="00E62429">
        <w:rPr>
          <w:b w:val="0"/>
          <w:snapToGrid w:val="0"/>
          <w:sz w:val="20"/>
          <w:szCs w:val="20"/>
          <w:lang w:val="es-ES_tradnl"/>
        </w:rPr>
        <w:t>En agosto de 1996 se creó el campus Victoria ubicado en el municipio del mismo nombre.</w:t>
      </w:r>
    </w:p>
    <w:p w14:paraId="179D8E67" w14:textId="77777777" w:rsidR="00AC6275" w:rsidRPr="00E62429" w:rsidRDefault="00AC6275" w:rsidP="00AC6275">
      <w:pPr>
        <w:pStyle w:val="NormalArial"/>
        <w:spacing w:after="100" w:afterAutospacing="1"/>
        <w:jc w:val="both"/>
        <w:rPr>
          <w:b w:val="0"/>
          <w:snapToGrid w:val="0"/>
          <w:sz w:val="20"/>
          <w:szCs w:val="20"/>
        </w:rPr>
      </w:pPr>
      <w:r w:rsidRPr="00E62429">
        <w:rPr>
          <w:b w:val="0"/>
          <w:snapToGrid w:val="0"/>
          <w:sz w:val="20"/>
          <w:szCs w:val="20"/>
        </w:rPr>
        <w:lastRenderedPageBreak/>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14:paraId="126CB513" w14:textId="77777777" w:rsidR="00AC6275" w:rsidRPr="00E62429" w:rsidRDefault="00AC6275" w:rsidP="00AC6275">
      <w:pPr>
        <w:pStyle w:val="NormalArial"/>
        <w:spacing w:after="100" w:afterAutospacing="1"/>
        <w:jc w:val="both"/>
        <w:rPr>
          <w:b w:val="0"/>
          <w:sz w:val="20"/>
          <w:szCs w:val="20"/>
        </w:rPr>
      </w:pPr>
      <w:r w:rsidRPr="00E62429">
        <w:rPr>
          <w:b w:val="0"/>
          <w:snapToGrid w:val="0"/>
          <w:sz w:val="20"/>
          <w:szCs w:val="20"/>
        </w:rPr>
        <w:t xml:space="preserve">De este modo se responde a las expectativas y necesidades de los sectores educativo, productivo y social a través de un </w:t>
      </w:r>
      <w:r w:rsidRPr="00E62429">
        <w:rPr>
          <w:b w:val="0"/>
          <w:sz w:val="20"/>
          <w:szCs w:val="20"/>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14:paraId="6F6B6175" w14:textId="77777777" w:rsidR="00AC6275" w:rsidRPr="00E62429" w:rsidRDefault="00AC6275" w:rsidP="00AC6275">
      <w:pPr>
        <w:spacing w:after="100" w:afterAutospacing="1"/>
        <w:jc w:val="both"/>
        <w:rPr>
          <w:rFonts w:ascii="Arial" w:hAnsi="Arial" w:cs="Arial"/>
          <w:sz w:val="20"/>
          <w:szCs w:val="20"/>
        </w:rPr>
      </w:pPr>
    </w:p>
    <w:p w14:paraId="0586B141"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b) Principales cambios de estructura. Se presentan en el </w:t>
      </w:r>
      <w:r>
        <w:rPr>
          <w:rFonts w:ascii="Arial" w:hAnsi="Arial" w:cs="Arial"/>
          <w:b/>
          <w:sz w:val="20"/>
          <w:szCs w:val="20"/>
        </w:rPr>
        <w:t>Anexo I</w:t>
      </w:r>
      <w:r w:rsidRPr="00E62429">
        <w:rPr>
          <w:rFonts w:ascii="Arial" w:hAnsi="Arial" w:cs="Arial"/>
          <w:sz w:val="20"/>
          <w:szCs w:val="20"/>
        </w:rPr>
        <w:t xml:space="preserve"> de las notas de gestión administrativa.</w:t>
      </w:r>
    </w:p>
    <w:p w14:paraId="1B4AC5E2" w14:textId="77777777" w:rsidR="00AC6275" w:rsidRPr="00E62429" w:rsidRDefault="00AC6275" w:rsidP="00AC6275">
      <w:pPr>
        <w:tabs>
          <w:tab w:val="left" w:pos="708"/>
          <w:tab w:val="left" w:pos="1416"/>
          <w:tab w:val="left" w:pos="2124"/>
          <w:tab w:val="left" w:pos="2832"/>
          <w:tab w:val="left" w:pos="3540"/>
          <w:tab w:val="left" w:pos="4248"/>
          <w:tab w:val="left" w:pos="10485"/>
        </w:tabs>
        <w:spacing w:after="100" w:afterAutospacing="1"/>
        <w:jc w:val="both"/>
        <w:rPr>
          <w:rFonts w:ascii="Arial" w:hAnsi="Arial" w:cs="Arial"/>
          <w:b/>
          <w:sz w:val="20"/>
          <w:szCs w:val="20"/>
        </w:rPr>
      </w:pPr>
      <w:r w:rsidRPr="00E62429">
        <w:rPr>
          <w:rFonts w:ascii="Arial" w:hAnsi="Arial" w:cs="Arial"/>
          <w:b/>
          <w:sz w:val="20"/>
          <w:szCs w:val="20"/>
        </w:rPr>
        <w:t>4. Organización y Objeto Social:</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1E963C94"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a) Objeto social </w:t>
      </w:r>
    </w:p>
    <w:p w14:paraId="049ECC91" w14:textId="77777777" w:rsidR="00AC6275" w:rsidRPr="00E62429" w:rsidRDefault="00AC6275" w:rsidP="00AC6275">
      <w:pPr>
        <w:spacing w:line="300" w:lineRule="auto"/>
        <w:ind w:left="357"/>
        <w:jc w:val="both"/>
        <w:rPr>
          <w:rFonts w:ascii="Arial" w:hAnsi="Arial" w:cs="Arial"/>
          <w:sz w:val="20"/>
          <w:szCs w:val="20"/>
        </w:rPr>
      </w:pPr>
      <w:r w:rsidRPr="00E62429">
        <w:rPr>
          <w:rFonts w:ascii="Arial" w:hAnsi="Arial" w:cs="Arial"/>
          <w:sz w:val="20"/>
          <w:szCs w:val="20"/>
        </w:rPr>
        <w:t>Formar técnicos superiores universitarios e Ingenieros.</w:t>
      </w:r>
    </w:p>
    <w:p w14:paraId="5B1A7F23" w14:textId="77777777" w:rsidR="00AC6275" w:rsidRPr="00E62429" w:rsidRDefault="00AC6275" w:rsidP="00AC6275">
      <w:pPr>
        <w:spacing w:line="300" w:lineRule="auto"/>
        <w:ind w:left="357"/>
        <w:jc w:val="both"/>
        <w:rPr>
          <w:rFonts w:ascii="Arial" w:hAnsi="Arial" w:cs="Arial"/>
          <w:sz w:val="20"/>
          <w:szCs w:val="20"/>
        </w:rPr>
      </w:pPr>
      <w:r w:rsidRPr="00E62429">
        <w:rPr>
          <w:rFonts w:ascii="Arial" w:hAnsi="Arial" w:cs="Arial"/>
          <w:sz w:val="20"/>
          <w:szCs w:val="20"/>
        </w:rPr>
        <w:t>Realizar investigación científica y tecnológica en las áreas de su competencia.</w:t>
      </w:r>
    </w:p>
    <w:p w14:paraId="228C3EDA" w14:textId="77777777" w:rsidR="00AC6275" w:rsidRPr="00E62429" w:rsidRDefault="00AC6275" w:rsidP="00AC6275">
      <w:pPr>
        <w:spacing w:line="300" w:lineRule="auto"/>
        <w:ind w:left="357"/>
        <w:jc w:val="both"/>
        <w:rPr>
          <w:rFonts w:ascii="Arial" w:hAnsi="Arial" w:cs="Arial"/>
          <w:sz w:val="20"/>
          <w:szCs w:val="20"/>
        </w:rPr>
      </w:pPr>
      <w:r w:rsidRPr="00E62429">
        <w:rPr>
          <w:rFonts w:ascii="Arial" w:hAnsi="Arial" w:cs="Arial"/>
          <w:sz w:val="20"/>
          <w:szCs w:val="20"/>
        </w:rPr>
        <w:t>Desarrollar programas de apoyo técnico.</w:t>
      </w:r>
    </w:p>
    <w:p w14:paraId="79540290" w14:textId="77777777" w:rsidR="00AC6275" w:rsidRPr="00E62429" w:rsidRDefault="00AC6275" w:rsidP="00AC6275">
      <w:pPr>
        <w:spacing w:line="300" w:lineRule="auto"/>
        <w:ind w:left="357"/>
        <w:jc w:val="both"/>
        <w:rPr>
          <w:rFonts w:ascii="Arial" w:hAnsi="Arial" w:cs="Arial"/>
          <w:sz w:val="20"/>
          <w:szCs w:val="20"/>
        </w:rPr>
      </w:pPr>
      <w:r w:rsidRPr="00E62429">
        <w:rPr>
          <w:rFonts w:ascii="Arial" w:hAnsi="Arial" w:cs="Arial"/>
          <w:sz w:val="20"/>
          <w:szCs w:val="20"/>
        </w:rPr>
        <w:t>Promover la cultura nacional y universal.</w:t>
      </w:r>
    </w:p>
    <w:p w14:paraId="26F3588F" w14:textId="77777777" w:rsidR="00AC6275" w:rsidRPr="00E62429" w:rsidRDefault="00AC6275" w:rsidP="00AC6275">
      <w:pPr>
        <w:spacing w:line="300" w:lineRule="auto"/>
        <w:ind w:left="357"/>
        <w:jc w:val="both"/>
        <w:rPr>
          <w:rFonts w:ascii="Arial" w:hAnsi="Arial" w:cs="Arial"/>
          <w:sz w:val="20"/>
          <w:szCs w:val="20"/>
        </w:rPr>
      </w:pPr>
      <w:r w:rsidRPr="00E62429">
        <w:rPr>
          <w:rFonts w:ascii="Arial" w:hAnsi="Arial" w:cs="Arial"/>
          <w:sz w:val="20"/>
          <w:szCs w:val="20"/>
        </w:rPr>
        <w:t>Desarrollar la vinculación con la sociedad en general.</w:t>
      </w:r>
    </w:p>
    <w:p w14:paraId="60991E5E" w14:textId="77777777" w:rsidR="00AC6275" w:rsidRDefault="00AC6275" w:rsidP="00AC6275">
      <w:pPr>
        <w:spacing w:after="100" w:afterAutospacing="1"/>
        <w:jc w:val="both"/>
        <w:rPr>
          <w:rFonts w:ascii="Arial" w:hAnsi="Arial" w:cs="Arial"/>
          <w:sz w:val="20"/>
          <w:szCs w:val="20"/>
        </w:rPr>
      </w:pPr>
    </w:p>
    <w:p w14:paraId="6D2EF3BB"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b) Principal actividad</w:t>
      </w:r>
    </w:p>
    <w:p w14:paraId="3D49493D" w14:textId="77777777" w:rsidR="00AC6275" w:rsidRPr="00E62429" w:rsidRDefault="00AC6275" w:rsidP="00AC6275">
      <w:pPr>
        <w:spacing w:after="100" w:afterAutospacing="1"/>
        <w:ind w:firstLine="708"/>
        <w:jc w:val="both"/>
        <w:rPr>
          <w:rFonts w:ascii="Arial" w:hAnsi="Arial" w:cs="Arial"/>
          <w:sz w:val="20"/>
          <w:szCs w:val="20"/>
        </w:rPr>
      </w:pPr>
      <w:r w:rsidRPr="00E62429">
        <w:rPr>
          <w:rFonts w:ascii="Arial" w:hAnsi="Arial" w:cs="Arial"/>
          <w:sz w:val="20"/>
          <w:szCs w:val="20"/>
        </w:rPr>
        <w:t>Impartir Educación Superior a los alumnos egresados del bachillerato o su equivalente.</w:t>
      </w:r>
    </w:p>
    <w:p w14:paraId="3F8B9030"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c) Ejercicio fiscal </w:t>
      </w:r>
    </w:p>
    <w:p w14:paraId="682751E9" w14:textId="17730B88" w:rsidR="00AC6275" w:rsidRPr="00E62429" w:rsidRDefault="00AC6275" w:rsidP="00AC6275">
      <w:pPr>
        <w:spacing w:after="100" w:afterAutospacing="1"/>
        <w:ind w:firstLine="708"/>
        <w:jc w:val="both"/>
        <w:rPr>
          <w:rFonts w:ascii="Arial" w:hAnsi="Arial" w:cs="Arial"/>
          <w:sz w:val="20"/>
          <w:szCs w:val="20"/>
        </w:rPr>
      </w:pPr>
      <w:r w:rsidRPr="00E62429">
        <w:rPr>
          <w:rFonts w:ascii="Arial" w:hAnsi="Arial" w:cs="Arial"/>
          <w:sz w:val="20"/>
          <w:szCs w:val="20"/>
        </w:rPr>
        <w:lastRenderedPageBreak/>
        <w:t>Desde su creación a la fecha esta Institución ha entregado su información de manera anual por consiguiente actualmente s</w:t>
      </w:r>
      <w:r w:rsidR="00D34B04">
        <w:rPr>
          <w:rFonts w:ascii="Arial" w:hAnsi="Arial" w:cs="Arial"/>
          <w:sz w:val="20"/>
          <w:szCs w:val="20"/>
        </w:rPr>
        <w:t>e está en el periodo fiscal 2022</w:t>
      </w:r>
      <w:r w:rsidRPr="00E62429">
        <w:rPr>
          <w:rFonts w:ascii="Arial" w:hAnsi="Arial" w:cs="Arial"/>
          <w:sz w:val="20"/>
          <w:szCs w:val="20"/>
        </w:rPr>
        <w:t>.</w:t>
      </w:r>
    </w:p>
    <w:p w14:paraId="477E34A1"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d) Régimen jurídico (Fiscal).</w:t>
      </w:r>
    </w:p>
    <w:p w14:paraId="4FB5EE49" w14:textId="77777777" w:rsidR="00AC6275" w:rsidRPr="00E62429" w:rsidRDefault="00AC6275" w:rsidP="00AC6275">
      <w:pPr>
        <w:spacing w:after="100" w:afterAutospacing="1"/>
        <w:ind w:firstLine="708"/>
        <w:jc w:val="both"/>
        <w:rPr>
          <w:rFonts w:ascii="Arial" w:hAnsi="Arial" w:cs="Arial"/>
          <w:sz w:val="20"/>
          <w:szCs w:val="20"/>
        </w:rPr>
      </w:pPr>
      <w:r w:rsidRPr="00E62429">
        <w:rPr>
          <w:rFonts w:ascii="Arial" w:hAnsi="Arial" w:cs="Arial"/>
          <w:sz w:val="20"/>
          <w:szCs w:val="20"/>
        </w:rPr>
        <w:t>Escuelas de educación superior perteneciente al sector público.</w:t>
      </w:r>
    </w:p>
    <w:p w14:paraId="118352A5"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e) Consideraciones fiscales del ente: </w:t>
      </w:r>
    </w:p>
    <w:p w14:paraId="76063B89" w14:textId="77777777" w:rsidR="00AC6275" w:rsidRPr="00E62429" w:rsidRDefault="00AC6275" w:rsidP="00AC6275">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de retenciones de impuesto sobre la renta por sueldos y salarios.</w:t>
      </w:r>
    </w:p>
    <w:p w14:paraId="6826EE6E" w14:textId="77777777" w:rsidR="00AC6275" w:rsidRPr="00E62429" w:rsidRDefault="00AC6275" w:rsidP="00AC6275">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por retenciones y pagos de servicios profesionales.</w:t>
      </w:r>
    </w:p>
    <w:p w14:paraId="3895CEF3" w14:textId="77777777" w:rsidR="00AC6275" w:rsidRPr="00E62429" w:rsidRDefault="00AC6275" w:rsidP="00AC6275">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sobre las retenciones de los trabajadores y asimilados.</w:t>
      </w:r>
    </w:p>
    <w:p w14:paraId="663103B6" w14:textId="77777777" w:rsidR="00AC6275" w:rsidRPr="00E62429" w:rsidRDefault="00AC6275" w:rsidP="00AC6275">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por retenciones realizadas por servicios profesionales.</w:t>
      </w:r>
    </w:p>
    <w:p w14:paraId="0168493E" w14:textId="77777777" w:rsidR="00AC6275" w:rsidRPr="00E62429" w:rsidRDefault="00AC6275" w:rsidP="00AC6275">
      <w:pPr>
        <w:spacing w:after="100" w:afterAutospacing="1" w:line="360" w:lineRule="auto"/>
        <w:ind w:firstLine="357"/>
        <w:jc w:val="both"/>
        <w:rPr>
          <w:rFonts w:ascii="Arial" w:hAnsi="Arial" w:cs="Arial"/>
          <w:sz w:val="20"/>
          <w:szCs w:val="20"/>
        </w:rPr>
      </w:pPr>
      <w:r w:rsidRPr="00E62429">
        <w:rPr>
          <w:rFonts w:ascii="Arial" w:hAnsi="Arial" w:cs="Arial"/>
          <w:sz w:val="20"/>
          <w:szCs w:val="20"/>
        </w:rPr>
        <w:t>Presentar la declaración informativa an</w:t>
      </w:r>
      <w:r>
        <w:rPr>
          <w:rFonts w:ascii="Arial" w:hAnsi="Arial" w:cs="Arial"/>
          <w:sz w:val="20"/>
          <w:szCs w:val="20"/>
        </w:rPr>
        <w:t>ual de subsidio para el empleo.</w:t>
      </w:r>
    </w:p>
    <w:p w14:paraId="18CE871F"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f) Estructura organizacional básica</w:t>
      </w:r>
    </w:p>
    <w:p w14:paraId="4622818F" w14:textId="77777777" w:rsidR="00AC6275" w:rsidRPr="00E62429" w:rsidRDefault="00AC6275" w:rsidP="00AC6275">
      <w:pPr>
        <w:spacing w:after="100" w:afterAutospacing="1"/>
        <w:ind w:firstLine="708"/>
        <w:jc w:val="both"/>
        <w:rPr>
          <w:rFonts w:ascii="Arial" w:hAnsi="Arial" w:cs="Arial"/>
          <w:sz w:val="20"/>
          <w:szCs w:val="20"/>
        </w:rPr>
      </w:pPr>
      <w:r w:rsidRPr="00E62429">
        <w:rPr>
          <w:rFonts w:ascii="Arial" w:hAnsi="Arial" w:cs="Arial"/>
          <w:sz w:val="20"/>
          <w:szCs w:val="20"/>
        </w:rPr>
        <w:t xml:space="preserve">Se presenta en </w:t>
      </w:r>
      <w:r>
        <w:rPr>
          <w:rFonts w:ascii="Arial" w:hAnsi="Arial" w:cs="Arial"/>
          <w:b/>
          <w:sz w:val="20"/>
          <w:szCs w:val="20"/>
        </w:rPr>
        <w:t xml:space="preserve">Anexo I </w:t>
      </w:r>
      <w:r w:rsidRPr="00E62429">
        <w:rPr>
          <w:rFonts w:ascii="Arial" w:hAnsi="Arial" w:cs="Arial"/>
          <w:sz w:val="20"/>
          <w:szCs w:val="20"/>
        </w:rPr>
        <w:t>del documento Notas de Gestión Administrativa.</w:t>
      </w:r>
    </w:p>
    <w:p w14:paraId="34D1335D"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g) Fideicomisos, mandatos y análogos de los cuales es fideicomitente o fiduciario.</w:t>
      </w:r>
    </w:p>
    <w:p w14:paraId="58AC41DD" w14:textId="77777777" w:rsidR="00AC6275" w:rsidRDefault="00AC6275" w:rsidP="00AC6275">
      <w:pPr>
        <w:spacing w:after="100" w:afterAutospacing="1"/>
        <w:ind w:firstLine="708"/>
        <w:jc w:val="both"/>
        <w:rPr>
          <w:rFonts w:ascii="Arial" w:hAnsi="Arial" w:cs="Arial"/>
          <w:sz w:val="20"/>
          <w:szCs w:val="20"/>
        </w:rPr>
      </w:pPr>
      <w:r w:rsidRPr="00E62429">
        <w:rPr>
          <w:rFonts w:ascii="Arial" w:hAnsi="Arial" w:cs="Arial"/>
          <w:sz w:val="20"/>
          <w:szCs w:val="20"/>
        </w:rPr>
        <w:t>Actualmente la Universidad Tecnológica del Norte de Guanajuato no cuenta con ningún tipo de Fideicomiso.</w:t>
      </w:r>
    </w:p>
    <w:p w14:paraId="63679546"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5. Bases de Preparación de los Estados Financieros: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17D67E0A"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Se informará sobre:</w:t>
      </w:r>
    </w:p>
    <w:p w14:paraId="1AAE16C8"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 Si se ha observado la normatividad emitida por el CONAC y las disposiciones legales aplicables.</w:t>
      </w:r>
    </w:p>
    <w:p w14:paraId="23ACC5A2"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lastRenderedPageBreak/>
        <w:t>Las bases de preparación de los estados financieros observan en cierta medida la normatividad emitida por la CONAC y las disposiciones legales aplicables.</w:t>
      </w:r>
    </w:p>
    <w:p w14:paraId="36269C90"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2510972"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9E418AD"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c) Postulados básico</w:t>
      </w:r>
    </w:p>
    <w:p w14:paraId="3E93A2E1"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E62429">
        <w:rPr>
          <w:rFonts w:ascii="Arial" w:hAnsi="Arial" w:cs="Arial"/>
          <w:sz w:val="20"/>
          <w:szCs w:val="20"/>
        </w:rPr>
        <w:tab/>
      </w:r>
      <w:r w:rsidRPr="00E62429">
        <w:rPr>
          <w:rFonts w:ascii="Arial" w:hAnsi="Arial" w:cs="Arial"/>
          <w:sz w:val="20"/>
          <w:szCs w:val="20"/>
        </w:rPr>
        <w:tab/>
      </w:r>
    </w:p>
    <w:p w14:paraId="40DC7039"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3CA166B" w14:textId="77777777" w:rsidR="00AC6275" w:rsidRPr="00E62429" w:rsidRDefault="00AC6275" w:rsidP="00AC6275">
      <w:pPr>
        <w:spacing w:after="100" w:afterAutospacing="1"/>
        <w:jc w:val="both"/>
        <w:rPr>
          <w:rFonts w:ascii="Arial" w:hAnsi="Arial" w:cs="Arial"/>
          <w:sz w:val="20"/>
          <w:szCs w:val="20"/>
        </w:rPr>
      </w:pPr>
      <w:r>
        <w:rPr>
          <w:rFonts w:ascii="Arial" w:hAnsi="Arial" w:cs="Arial"/>
          <w:sz w:val="20"/>
          <w:szCs w:val="20"/>
        </w:rPr>
        <w:t>No</w:t>
      </w:r>
      <w:r w:rsidRPr="00E62429">
        <w:rPr>
          <w:rFonts w:ascii="Arial" w:hAnsi="Arial" w:cs="Arial"/>
          <w:sz w:val="20"/>
          <w:szCs w:val="20"/>
        </w:rPr>
        <w:t xml:space="preserve"> se aplica normatividad supletoria diferente a lo que nos marca Contabilidad Gubernamental.</w:t>
      </w:r>
    </w:p>
    <w:p w14:paraId="5ACAED4C"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e) Para las entidades que por primera vez estén implementando </w:t>
      </w:r>
      <w:proofErr w:type="gramStart"/>
      <w:r w:rsidRPr="00E62429">
        <w:rPr>
          <w:rFonts w:ascii="Arial" w:hAnsi="Arial" w:cs="Arial"/>
          <w:sz w:val="20"/>
          <w:szCs w:val="20"/>
        </w:rPr>
        <w:t>la base devengado</w:t>
      </w:r>
      <w:proofErr w:type="gramEnd"/>
      <w:r w:rsidRPr="00E62429">
        <w:rPr>
          <w:rFonts w:ascii="Arial" w:hAnsi="Arial" w:cs="Arial"/>
          <w:sz w:val="20"/>
          <w:szCs w:val="20"/>
        </w:rPr>
        <w:t xml:space="preserve"> de acuerdo a la Ley de Contabilidad, deberán:</w:t>
      </w:r>
    </w:p>
    <w:p w14:paraId="35FE6210" w14:textId="77777777" w:rsidR="00AC6275" w:rsidRPr="00C65A8E" w:rsidRDefault="00AC6275" w:rsidP="00AC6275">
      <w:pPr>
        <w:pStyle w:val="Prrafodelista"/>
        <w:numPr>
          <w:ilvl w:val="0"/>
          <w:numId w:val="2"/>
        </w:numPr>
        <w:spacing w:after="100" w:afterAutospacing="1" w:line="360" w:lineRule="auto"/>
        <w:jc w:val="both"/>
        <w:rPr>
          <w:rFonts w:ascii="Arial" w:hAnsi="Arial" w:cs="Arial"/>
          <w:sz w:val="20"/>
          <w:szCs w:val="20"/>
        </w:rPr>
      </w:pPr>
      <w:r w:rsidRPr="00C65A8E">
        <w:rPr>
          <w:rFonts w:ascii="Cambria Math" w:hAnsi="Cambria Math" w:cs="Arial"/>
          <w:sz w:val="20"/>
          <w:szCs w:val="20"/>
        </w:rPr>
        <w:t>‐</w:t>
      </w:r>
      <w:r w:rsidRPr="00C65A8E">
        <w:rPr>
          <w:rFonts w:ascii="Arial" w:hAnsi="Arial" w:cs="Arial"/>
          <w:sz w:val="20"/>
          <w:szCs w:val="20"/>
        </w:rPr>
        <w:t>Revelar las nuevas políticas de reconocimiento:</w:t>
      </w:r>
    </w:p>
    <w:p w14:paraId="7B04D767" w14:textId="77777777" w:rsidR="00AC6275" w:rsidRPr="00E62429" w:rsidRDefault="00AC6275" w:rsidP="00AC6275">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w:t>
      </w:r>
    </w:p>
    <w:p w14:paraId="03C87139" w14:textId="77777777" w:rsidR="00AC6275" w:rsidRPr="00C65A8E" w:rsidRDefault="00AC6275" w:rsidP="00AC6275">
      <w:pPr>
        <w:pStyle w:val="Prrafodelista"/>
        <w:numPr>
          <w:ilvl w:val="0"/>
          <w:numId w:val="3"/>
        </w:numPr>
        <w:spacing w:after="100" w:afterAutospacing="1" w:line="360" w:lineRule="auto"/>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Plan de implementación:</w:t>
      </w:r>
    </w:p>
    <w:p w14:paraId="3BAC5347" w14:textId="77777777" w:rsidR="00AC6275" w:rsidRPr="00E62429" w:rsidRDefault="00AC6275" w:rsidP="00AC6275">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w:t>
      </w:r>
      <w:r>
        <w:rPr>
          <w:rFonts w:ascii="Arial" w:hAnsi="Arial" w:cs="Arial"/>
          <w:sz w:val="20"/>
          <w:szCs w:val="20"/>
        </w:rPr>
        <w:t>a, a esta pregunta en concreto.</w:t>
      </w:r>
    </w:p>
    <w:p w14:paraId="5D038DC7" w14:textId="77777777" w:rsidR="00AC6275" w:rsidRPr="00C65A8E" w:rsidRDefault="00AC6275" w:rsidP="00AC6275">
      <w:pPr>
        <w:pStyle w:val="Prrafodelista"/>
        <w:numPr>
          <w:ilvl w:val="0"/>
          <w:numId w:val="4"/>
        </w:numPr>
        <w:spacing w:after="100" w:afterAutospacing="1" w:line="240" w:lineRule="auto"/>
        <w:jc w:val="both"/>
        <w:rPr>
          <w:rFonts w:ascii="Arial" w:hAnsi="Arial" w:cs="Arial"/>
          <w:sz w:val="20"/>
          <w:szCs w:val="20"/>
        </w:rPr>
      </w:pPr>
      <w:r w:rsidRPr="00C65A8E">
        <w:rPr>
          <w:rFonts w:ascii="Cambria Math" w:hAnsi="Cambria Math" w:cs="Cambria Math"/>
          <w:sz w:val="20"/>
          <w:szCs w:val="20"/>
        </w:rPr>
        <w:lastRenderedPageBreak/>
        <w:t>‐</w:t>
      </w:r>
      <w:r w:rsidRPr="00C65A8E">
        <w:rPr>
          <w:rFonts w:ascii="Arial" w:hAnsi="Arial" w:cs="Arial"/>
          <w:sz w:val="20"/>
          <w:szCs w:val="20"/>
        </w:rPr>
        <w:t>Revelar los cambios en las políticas, la clasificación y medición de las mismas, así como su impacto en la información financiera:</w:t>
      </w:r>
    </w:p>
    <w:p w14:paraId="6C62F3F7"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14:paraId="2B36416B"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6. Políticas de Contabilidad Significativas: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5B7874EB"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 xml:space="preserve">a) Actualización: </w:t>
      </w:r>
    </w:p>
    <w:p w14:paraId="372A4D6A"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14:paraId="6CE8A084"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b) Informar sobre la realización de operaciones en el extranjero y de sus efectos en la información financiera gubernamental:</w:t>
      </w:r>
    </w:p>
    <w:p w14:paraId="3362CCF5"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705DA725"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c) Método de valuación de la inversión en acciones de Compañías subsidiarias no consolidadas y asociadas:</w:t>
      </w:r>
    </w:p>
    <w:p w14:paraId="53E235F8"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283D4AEE"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d) Sistema y método de valuación de inventarios y costo de lo vendido:</w:t>
      </w:r>
    </w:p>
    <w:p w14:paraId="52704C26"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ser una Institución Educativa no tiene inventarios y por ende costo de lo vendido.</w:t>
      </w:r>
    </w:p>
    <w:p w14:paraId="392636C8"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 xml:space="preserve">e) Beneficios a empleados: </w:t>
      </w:r>
    </w:p>
    <w:p w14:paraId="0A105C7E"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otorga todos los beneficios que se especifican en la plantilla emitida por la Subsecretaría de Educación Superior, Coordinación de Universidades Tecnológicas y Politécnicas adscritas a la Secretaría de Educación Pública, así como a las autorizaciones emitidas por el H. Consejo Directivo de la institución. </w:t>
      </w:r>
    </w:p>
    <w:p w14:paraId="30B90C57"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 xml:space="preserve">f) Provisiones: </w:t>
      </w:r>
    </w:p>
    <w:p w14:paraId="461B32C8" w14:textId="0C41F18A" w:rsidR="00AC6275" w:rsidRDefault="00AC6275" w:rsidP="00AC6275">
      <w:pPr>
        <w:spacing w:after="100" w:afterAutospacing="1"/>
        <w:jc w:val="both"/>
        <w:rPr>
          <w:rFonts w:ascii="Arial" w:hAnsi="Arial" w:cs="Arial"/>
          <w:sz w:val="20"/>
          <w:szCs w:val="20"/>
        </w:rPr>
      </w:pPr>
      <w:r>
        <w:rPr>
          <w:rFonts w:ascii="Arial" w:hAnsi="Arial" w:cs="Arial"/>
          <w:sz w:val="20"/>
          <w:szCs w:val="20"/>
        </w:rPr>
        <w:t>Se cuenta</w:t>
      </w:r>
      <w:r w:rsidRPr="00E62429">
        <w:rPr>
          <w:rFonts w:ascii="Arial" w:hAnsi="Arial" w:cs="Arial"/>
          <w:sz w:val="20"/>
          <w:szCs w:val="20"/>
        </w:rPr>
        <w:t xml:space="preserve"> con una provisión denominada </w:t>
      </w:r>
      <w:r>
        <w:rPr>
          <w:rFonts w:ascii="Arial" w:hAnsi="Arial" w:cs="Arial"/>
          <w:sz w:val="20"/>
          <w:szCs w:val="20"/>
        </w:rPr>
        <w:t>Provisión de Contingencias a Corto Plazo</w:t>
      </w:r>
      <w:r w:rsidRPr="00E62429">
        <w:rPr>
          <w:rFonts w:ascii="Arial" w:hAnsi="Arial" w:cs="Arial"/>
          <w:sz w:val="20"/>
          <w:szCs w:val="20"/>
        </w:rPr>
        <w:t>, cuyo saldo</w:t>
      </w:r>
      <w:r>
        <w:rPr>
          <w:rFonts w:ascii="Arial" w:hAnsi="Arial" w:cs="Arial"/>
          <w:sz w:val="20"/>
          <w:szCs w:val="20"/>
        </w:rPr>
        <w:t xml:space="preserve"> al 3</w:t>
      </w:r>
      <w:r w:rsidR="00F31BD3">
        <w:rPr>
          <w:rFonts w:ascii="Arial" w:hAnsi="Arial" w:cs="Arial"/>
          <w:sz w:val="20"/>
          <w:szCs w:val="20"/>
        </w:rPr>
        <w:t>0</w:t>
      </w:r>
      <w:r>
        <w:rPr>
          <w:rFonts w:ascii="Arial" w:hAnsi="Arial" w:cs="Arial"/>
          <w:sz w:val="20"/>
          <w:szCs w:val="20"/>
        </w:rPr>
        <w:t xml:space="preserve"> de </w:t>
      </w:r>
      <w:r w:rsidR="00F31BD3">
        <w:rPr>
          <w:rFonts w:ascii="Arial" w:hAnsi="Arial" w:cs="Arial"/>
          <w:sz w:val="20"/>
          <w:szCs w:val="20"/>
        </w:rPr>
        <w:t>junio es de $ 208,520.51</w:t>
      </w:r>
      <w:r>
        <w:rPr>
          <w:rFonts w:ascii="Arial" w:hAnsi="Arial" w:cs="Arial"/>
          <w:sz w:val="20"/>
          <w:szCs w:val="20"/>
        </w:rPr>
        <w:t>.</w:t>
      </w:r>
    </w:p>
    <w:p w14:paraId="1C77FFF2"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lastRenderedPageBreak/>
        <w:t xml:space="preserve">g) Reservas: </w:t>
      </w:r>
    </w:p>
    <w:p w14:paraId="42A29FDC" w14:textId="2FF2398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actualmente tiene un fondo de contingencia para dar certidumbre a los quehaceres de la Institución, por un monto de </w:t>
      </w:r>
      <w:proofErr w:type="gramStart"/>
      <w:r w:rsidRPr="00E62429">
        <w:rPr>
          <w:rFonts w:ascii="Arial" w:hAnsi="Arial" w:cs="Arial"/>
          <w:sz w:val="20"/>
          <w:szCs w:val="20"/>
        </w:rPr>
        <w:t xml:space="preserve">$ </w:t>
      </w:r>
      <w:r w:rsidR="003459B8">
        <w:rPr>
          <w:rFonts w:ascii="Arial" w:hAnsi="Arial" w:cs="Arial"/>
          <w:sz w:val="20"/>
          <w:szCs w:val="20"/>
        </w:rPr>
        <w:t xml:space="preserve"> 4,613</w:t>
      </w:r>
      <w:r w:rsidR="00BE6B66" w:rsidRPr="00BE6B66">
        <w:rPr>
          <w:rFonts w:ascii="Arial" w:hAnsi="Arial" w:cs="Arial"/>
          <w:sz w:val="20"/>
          <w:szCs w:val="20"/>
        </w:rPr>
        <w:t>,</w:t>
      </w:r>
      <w:r w:rsidR="003459B8">
        <w:rPr>
          <w:rFonts w:ascii="Arial" w:hAnsi="Arial" w:cs="Arial"/>
          <w:sz w:val="20"/>
          <w:szCs w:val="20"/>
        </w:rPr>
        <w:t>702</w:t>
      </w:r>
      <w:r w:rsidR="00BE6B66" w:rsidRPr="00BE6B66">
        <w:rPr>
          <w:rFonts w:ascii="Arial" w:hAnsi="Arial" w:cs="Arial"/>
          <w:sz w:val="20"/>
          <w:szCs w:val="20"/>
        </w:rPr>
        <w:t>.</w:t>
      </w:r>
      <w:r w:rsidR="009562EB">
        <w:rPr>
          <w:rFonts w:ascii="Arial" w:hAnsi="Arial" w:cs="Arial"/>
          <w:sz w:val="20"/>
          <w:szCs w:val="20"/>
        </w:rPr>
        <w:t>46</w:t>
      </w:r>
      <w:proofErr w:type="gramEnd"/>
      <w:r w:rsidRPr="00E62429">
        <w:rPr>
          <w:rFonts w:ascii="Arial" w:hAnsi="Arial" w:cs="Arial"/>
          <w:sz w:val="20"/>
          <w:szCs w:val="20"/>
        </w:rPr>
        <w:t xml:space="preserve"> y su plazo es indefinido o hasta agotar su saldo.</w:t>
      </w:r>
    </w:p>
    <w:p w14:paraId="73DB968E"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14:paraId="4A2BCB68"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14:paraId="0D273E82"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 xml:space="preserve">i) Reclasificaciones: </w:t>
      </w:r>
    </w:p>
    <w:p w14:paraId="3595C004"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14:paraId="4CF43B89"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j) Depuración y cancelación de saldos</w:t>
      </w:r>
    </w:p>
    <w:p w14:paraId="509CC7B1"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Cuando es necesario por cuestiones de costo beneficio la Universidad ha depurado algunas cuentas, siempre y cuando el saldo no sea significativo por lo regular menor </w:t>
      </w:r>
      <w:r>
        <w:rPr>
          <w:rFonts w:ascii="Arial" w:hAnsi="Arial" w:cs="Arial"/>
          <w:sz w:val="20"/>
          <w:szCs w:val="20"/>
        </w:rPr>
        <w:t xml:space="preserve">a $ 1,000.00 y una vez agotado </w:t>
      </w:r>
      <w:r w:rsidRPr="00E62429">
        <w:rPr>
          <w:rFonts w:ascii="Arial" w:hAnsi="Arial" w:cs="Arial"/>
          <w:sz w:val="20"/>
          <w:szCs w:val="20"/>
        </w:rPr>
        <w:t>los procesos internos.</w:t>
      </w:r>
      <w:r w:rsidRPr="00E62429">
        <w:rPr>
          <w:rFonts w:ascii="Arial" w:hAnsi="Arial" w:cs="Arial"/>
          <w:sz w:val="20"/>
          <w:szCs w:val="20"/>
        </w:rPr>
        <w:tab/>
      </w:r>
    </w:p>
    <w:p w14:paraId="29A5B1BC"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7. Posición en Moneda Extranjera y Protección por Riesgo Cambiario: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54A04A5E"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a) Activos en moneda extranjera:</w:t>
      </w:r>
    </w:p>
    <w:p w14:paraId="2451E685"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75054525"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b) Pasivos en moneda extranjera:</w:t>
      </w:r>
    </w:p>
    <w:p w14:paraId="663A8B8F"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6F08D52C"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c) Posición en moneda extranjera:</w:t>
      </w:r>
    </w:p>
    <w:p w14:paraId="40E6EC39"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lastRenderedPageBreak/>
        <w:t>No aplica.</w:t>
      </w:r>
    </w:p>
    <w:p w14:paraId="76012EA1"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d) Tipo de cambio</w:t>
      </w:r>
    </w:p>
    <w:p w14:paraId="2666D438"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Es usado el tipo que maneja el Banco de México a la fecha que se requiera, en la compra de un bien en el extranjero y su contabilización en la Institución invariablemente es en pesos mexicanos.</w:t>
      </w:r>
    </w:p>
    <w:p w14:paraId="51E83A64"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e) Equivalente en moneda nacional:</w:t>
      </w:r>
    </w:p>
    <w:p w14:paraId="5514E432"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Su contabilización como ya se mencionó anteriormente es en moneda nacional.</w:t>
      </w:r>
    </w:p>
    <w:p w14:paraId="1D833226"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Lo anterior por cada tipo de moneda extranjera que se encuentre en los rubros de activo y pasivo.</w:t>
      </w:r>
    </w:p>
    <w:p w14:paraId="4D27A96E"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Adicionalmente se informará sobre los métodos de protección de riesgo por variaciones en el tipo de cambio.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14:paraId="059BC1B2"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8. Reporte Analítico del Activo: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sz w:val="20"/>
          <w:szCs w:val="20"/>
        </w:rPr>
        <w:tab/>
      </w:r>
      <w:r w:rsidRPr="00E62429">
        <w:rPr>
          <w:rFonts w:ascii="Arial" w:hAnsi="Arial" w:cs="Arial"/>
          <w:sz w:val="20"/>
          <w:szCs w:val="20"/>
        </w:rPr>
        <w:tab/>
      </w:r>
    </w:p>
    <w:p w14:paraId="4362903F"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a) Vida útil o porcentajes de depreciación, deterioro o amortización utilizados en los diferentes tipos de activos:</w:t>
      </w:r>
    </w:p>
    <w:p w14:paraId="37449EC6"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14:paraId="5E8BDC42"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b) Cambios en el porcentaje de depreciación o valor residual de los activos:</w:t>
      </w:r>
    </w:p>
    <w:p w14:paraId="368DB102" w14:textId="77777777" w:rsidR="00AC6275" w:rsidRDefault="00AC6275" w:rsidP="00AC6275">
      <w:pPr>
        <w:spacing w:after="100" w:afterAutospacing="1"/>
        <w:jc w:val="both"/>
        <w:rPr>
          <w:rFonts w:ascii="Arial" w:hAnsi="Arial" w:cs="Arial"/>
          <w:sz w:val="20"/>
          <w:szCs w:val="20"/>
        </w:rPr>
      </w:pPr>
      <w:r w:rsidRPr="00E62429">
        <w:rPr>
          <w:rFonts w:ascii="Arial" w:hAnsi="Arial" w:cs="Arial"/>
          <w:sz w:val="20"/>
          <w:szCs w:val="20"/>
        </w:rPr>
        <w:t>De conformidad con la norma de CONAC y los alcances del SIHP, actualmente solo pueden considerarse las 40 clases de activos vigentes que se manejan en el sistema R-3.</w:t>
      </w:r>
    </w:p>
    <w:p w14:paraId="74CC7C2E"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c) Importe de los gastos capitalizados en el ejercicio, tanto financieros como de investigación y desarrollo:</w:t>
      </w:r>
    </w:p>
    <w:p w14:paraId="63C4E479" w14:textId="47C2C821"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Capitalización ing</w:t>
      </w:r>
      <w:r>
        <w:rPr>
          <w:rFonts w:ascii="Arial" w:hAnsi="Arial" w:cs="Arial"/>
          <w:sz w:val="20"/>
          <w:szCs w:val="20"/>
        </w:rPr>
        <w:t xml:space="preserve">resos propios                 </w:t>
      </w:r>
      <w:r w:rsidR="00786D63" w:rsidRPr="00786D63">
        <w:rPr>
          <w:rFonts w:ascii="Arial" w:hAnsi="Arial" w:cs="Arial"/>
          <w:sz w:val="20"/>
          <w:szCs w:val="20"/>
        </w:rPr>
        <w:t>199,083.76</w:t>
      </w:r>
    </w:p>
    <w:p w14:paraId="00FF1706" w14:textId="77777777" w:rsidR="00786D63" w:rsidRDefault="00AC6275" w:rsidP="00AC6275">
      <w:pPr>
        <w:spacing w:after="100" w:afterAutospacing="1"/>
        <w:jc w:val="both"/>
        <w:rPr>
          <w:rFonts w:ascii="Arial" w:hAnsi="Arial" w:cs="Arial"/>
          <w:sz w:val="20"/>
          <w:szCs w:val="20"/>
        </w:rPr>
      </w:pPr>
      <w:proofErr w:type="gramStart"/>
      <w:r w:rsidRPr="00E62429">
        <w:rPr>
          <w:rFonts w:ascii="Arial" w:hAnsi="Arial" w:cs="Arial"/>
          <w:sz w:val="20"/>
          <w:szCs w:val="20"/>
        </w:rPr>
        <w:t>Cap</w:t>
      </w:r>
      <w:r>
        <w:rPr>
          <w:rFonts w:ascii="Arial" w:hAnsi="Arial" w:cs="Arial"/>
          <w:sz w:val="20"/>
          <w:szCs w:val="20"/>
        </w:rPr>
        <w:t>italización remanentes</w:t>
      </w:r>
      <w:proofErr w:type="gramEnd"/>
      <w:r>
        <w:rPr>
          <w:rFonts w:ascii="Arial" w:hAnsi="Arial" w:cs="Arial"/>
          <w:sz w:val="20"/>
          <w:szCs w:val="20"/>
        </w:rPr>
        <w:t xml:space="preserve"> propios</w:t>
      </w:r>
      <w:r w:rsidRPr="00E62429">
        <w:rPr>
          <w:rFonts w:ascii="Arial" w:hAnsi="Arial" w:cs="Arial"/>
          <w:sz w:val="20"/>
          <w:szCs w:val="20"/>
        </w:rPr>
        <w:t xml:space="preserve">    </w:t>
      </w:r>
      <w:r>
        <w:rPr>
          <w:rFonts w:ascii="Arial" w:hAnsi="Arial" w:cs="Arial"/>
          <w:sz w:val="20"/>
          <w:szCs w:val="20"/>
        </w:rPr>
        <w:t xml:space="preserve">        </w:t>
      </w:r>
      <w:r w:rsidR="00786D63" w:rsidRPr="00786D63">
        <w:rPr>
          <w:rFonts w:ascii="Arial" w:hAnsi="Arial" w:cs="Arial"/>
          <w:sz w:val="20"/>
          <w:szCs w:val="20"/>
        </w:rPr>
        <w:t>693,566.68</w:t>
      </w:r>
    </w:p>
    <w:p w14:paraId="6042AC9F" w14:textId="68A79B56" w:rsidR="00AC6275" w:rsidRPr="00D2728C" w:rsidRDefault="00AC6275" w:rsidP="00AC6275">
      <w:pPr>
        <w:spacing w:after="100" w:afterAutospacing="1"/>
        <w:jc w:val="both"/>
        <w:rPr>
          <w:rFonts w:ascii="Arial" w:hAnsi="Arial" w:cs="Arial"/>
          <w:b/>
          <w:sz w:val="20"/>
          <w:szCs w:val="20"/>
        </w:rPr>
      </w:pPr>
      <w:r w:rsidRPr="00D2728C">
        <w:rPr>
          <w:rFonts w:ascii="Arial" w:hAnsi="Arial" w:cs="Arial"/>
          <w:b/>
          <w:sz w:val="20"/>
          <w:szCs w:val="20"/>
        </w:rPr>
        <w:t>d) Riesgos por tipo de cambio o tipo de interés de las inversiones financieras:</w:t>
      </w:r>
    </w:p>
    <w:p w14:paraId="78E52866"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lastRenderedPageBreak/>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14:paraId="0A4BCCB1" w14:textId="77777777" w:rsidR="00AC6275" w:rsidRPr="00D2728C" w:rsidRDefault="00AC6275" w:rsidP="00AC6275">
      <w:pPr>
        <w:spacing w:after="100" w:afterAutospacing="1"/>
        <w:jc w:val="both"/>
        <w:rPr>
          <w:rFonts w:ascii="Arial" w:hAnsi="Arial" w:cs="Arial"/>
          <w:b/>
          <w:sz w:val="20"/>
          <w:szCs w:val="20"/>
        </w:rPr>
      </w:pPr>
      <w:r w:rsidRPr="00D2728C">
        <w:rPr>
          <w:rFonts w:ascii="Arial" w:hAnsi="Arial" w:cs="Arial"/>
          <w:b/>
          <w:sz w:val="20"/>
          <w:szCs w:val="20"/>
        </w:rPr>
        <w:t>e) Valor activado en el ejercicio de los bienes construidos por la entidad:</w:t>
      </w:r>
    </w:p>
    <w:p w14:paraId="18F84AB1" w14:textId="77777777" w:rsidR="00AC6275" w:rsidRPr="00935718" w:rsidRDefault="00AC6275" w:rsidP="00AC6275">
      <w:pPr>
        <w:spacing w:after="100" w:afterAutospacing="1"/>
        <w:jc w:val="both"/>
        <w:rPr>
          <w:rFonts w:ascii="Arial" w:hAnsi="Arial" w:cs="Arial"/>
          <w:sz w:val="20"/>
          <w:szCs w:val="20"/>
        </w:rPr>
      </w:pPr>
      <w:r w:rsidRPr="00682F2F">
        <w:rPr>
          <w:rFonts w:ascii="Arial" w:hAnsi="Arial" w:cs="Arial"/>
          <w:sz w:val="20"/>
          <w:szCs w:val="20"/>
        </w:rPr>
        <w:t>Construcción del Gimnasio Auditorio (Tercera Etapa</w:t>
      </w:r>
      <w:r>
        <w:rPr>
          <w:rFonts w:ascii="Arial" w:hAnsi="Arial" w:cs="Arial"/>
          <w:sz w:val="20"/>
          <w:szCs w:val="20"/>
        </w:rPr>
        <w:t xml:space="preserve"> y obra exterior</w:t>
      </w:r>
      <w:proofErr w:type="gramStart"/>
      <w:r>
        <w:rPr>
          <w:rFonts w:ascii="Arial" w:hAnsi="Arial" w:cs="Arial"/>
          <w:sz w:val="20"/>
          <w:szCs w:val="20"/>
        </w:rPr>
        <w:t>)  0.00</w:t>
      </w:r>
      <w:proofErr w:type="gramEnd"/>
    </w:p>
    <w:p w14:paraId="0856181C" w14:textId="77777777" w:rsidR="00AC6275" w:rsidRPr="00D2728C" w:rsidRDefault="00AC6275" w:rsidP="00AC6275">
      <w:pPr>
        <w:spacing w:after="100" w:afterAutospacing="1"/>
        <w:jc w:val="both"/>
        <w:rPr>
          <w:rFonts w:ascii="Arial" w:hAnsi="Arial" w:cs="Arial"/>
          <w:b/>
          <w:sz w:val="20"/>
          <w:szCs w:val="20"/>
        </w:rPr>
      </w:pPr>
      <w:r w:rsidRPr="00D2728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14:paraId="69E7994D"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74F10279" w14:textId="77777777" w:rsidR="00AC6275" w:rsidRPr="00D2728C" w:rsidRDefault="00AC6275" w:rsidP="00AC6275">
      <w:pPr>
        <w:spacing w:after="100" w:afterAutospacing="1"/>
        <w:jc w:val="both"/>
        <w:rPr>
          <w:rFonts w:ascii="Arial" w:hAnsi="Arial" w:cs="Arial"/>
          <w:b/>
          <w:sz w:val="20"/>
          <w:szCs w:val="20"/>
        </w:rPr>
      </w:pPr>
      <w:r w:rsidRPr="00D2728C">
        <w:rPr>
          <w:rFonts w:ascii="Arial" w:hAnsi="Arial" w:cs="Arial"/>
          <w:b/>
          <w:sz w:val="20"/>
          <w:szCs w:val="20"/>
        </w:rPr>
        <w:t>g) Desmantelamiento de Activos, procedimientos, implicaciones, efectos contables:</w:t>
      </w:r>
    </w:p>
    <w:p w14:paraId="5CF8E48D" w14:textId="77777777" w:rsidR="00AC6275" w:rsidRDefault="00AC6275" w:rsidP="00AC6275">
      <w:pPr>
        <w:spacing w:after="100" w:afterAutospacing="1"/>
        <w:jc w:val="both"/>
        <w:rPr>
          <w:rFonts w:ascii="Arial" w:hAnsi="Arial" w:cs="Arial"/>
          <w:sz w:val="20"/>
          <w:szCs w:val="20"/>
        </w:rPr>
      </w:pPr>
      <w:r w:rsidRPr="00E62429">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14:paraId="5364D428" w14:textId="77777777" w:rsidR="00AC6275" w:rsidRPr="00D2728C" w:rsidRDefault="00AC6275" w:rsidP="00AC6275">
      <w:pPr>
        <w:spacing w:after="100" w:afterAutospacing="1"/>
        <w:jc w:val="both"/>
        <w:rPr>
          <w:rFonts w:ascii="Arial" w:hAnsi="Arial" w:cs="Arial"/>
          <w:b/>
          <w:sz w:val="20"/>
          <w:szCs w:val="20"/>
        </w:rPr>
      </w:pPr>
      <w:r w:rsidRPr="00D2728C">
        <w:rPr>
          <w:rFonts w:ascii="Arial" w:hAnsi="Arial" w:cs="Arial"/>
          <w:b/>
          <w:sz w:val="20"/>
          <w:szCs w:val="20"/>
        </w:rPr>
        <w:t>h) Administración de activos; planeación con el objetivo de que el ente los utilice de manera más efectiva:</w:t>
      </w:r>
    </w:p>
    <w:p w14:paraId="5E2BE1B0"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Los activos de la institución se encuentran bajo inventario, resguardo y control.</w:t>
      </w:r>
    </w:p>
    <w:p w14:paraId="547E1100"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Cada adquisición de activos se realiza bajo un proyecto donde se indica el objetivo, el fondo, el impacto y los beneficiarios.</w:t>
      </w:r>
    </w:p>
    <w:p w14:paraId="035F14B4"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Así mismo, existe uso adecuado para la razón de ser de la institución, ya sea para la academia, la vinculación o para respaldar los procesos de operación en la gestión institucional.</w:t>
      </w:r>
    </w:p>
    <w:p w14:paraId="71A9FFD9"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Adicionalmente, se deben incluir las explicaciones de las principales variaciones en el activo, en cuadros comparativos como sigue:</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14:paraId="21C92C75" w14:textId="77777777" w:rsidR="00AC6275" w:rsidRPr="00D2728C" w:rsidRDefault="00AC6275" w:rsidP="00AC6275">
      <w:pPr>
        <w:spacing w:after="100" w:afterAutospacing="1"/>
        <w:jc w:val="both"/>
        <w:rPr>
          <w:rFonts w:ascii="Arial" w:hAnsi="Arial" w:cs="Arial"/>
          <w:b/>
          <w:sz w:val="20"/>
          <w:szCs w:val="20"/>
        </w:rPr>
      </w:pPr>
      <w:r w:rsidRPr="00D2728C">
        <w:rPr>
          <w:rFonts w:ascii="Arial" w:hAnsi="Arial" w:cs="Arial"/>
          <w:b/>
          <w:sz w:val="20"/>
          <w:szCs w:val="20"/>
        </w:rPr>
        <w:t>a) Inversiones en valores:</w:t>
      </w:r>
    </w:p>
    <w:p w14:paraId="3DBB4B76"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554AC83B" w14:textId="77777777" w:rsidR="00AC6275" w:rsidRPr="00D2728C" w:rsidRDefault="00AC6275" w:rsidP="00AC6275">
      <w:pPr>
        <w:spacing w:after="100" w:afterAutospacing="1"/>
        <w:jc w:val="both"/>
        <w:rPr>
          <w:rFonts w:ascii="Arial" w:hAnsi="Arial" w:cs="Arial"/>
          <w:b/>
          <w:sz w:val="20"/>
          <w:szCs w:val="20"/>
        </w:rPr>
      </w:pPr>
      <w:r w:rsidRPr="00D2728C">
        <w:rPr>
          <w:rFonts w:ascii="Arial" w:hAnsi="Arial" w:cs="Arial"/>
          <w:b/>
          <w:sz w:val="20"/>
          <w:szCs w:val="20"/>
        </w:rPr>
        <w:lastRenderedPageBreak/>
        <w:t>b) Patrimonio de Organismos descentralizados de Control Presupuestario Indirecto:</w:t>
      </w:r>
    </w:p>
    <w:p w14:paraId="30F05B86"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0FF3E03A" w14:textId="77777777" w:rsidR="00AC6275" w:rsidRPr="00D2728C" w:rsidRDefault="00AC6275" w:rsidP="00AC6275">
      <w:pPr>
        <w:spacing w:after="100" w:afterAutospacing="1"/>
        <w:jc w:val="both"/>
        <w:rPr>
          <w:rFonts w:ascii="Arial" w:hAnsi="Arial" w:cs="Arial"/>
          <w:b/>
          <w:sz w:val="20"/>
          <w:szCs w:val="20"/>
        </w:rPr>
      </w:pPr>
      <w:r w:rsidRPr="00D2728C">
        <w:rPr>
          <w:rFonts w:ascii="Arial" w:hAnsi="Arial" w:cs="Arial"/>
          <w:b/>
          <w:sz w:val="20"/>
          <w:szCs w:val="20"/>
        </w:rPr>
        <w:t>c) Inversiones en empresas de participación mayoritaria:</w:t>
      </w:r>
    </w:p>
    <w:p w14:paraId="19EDBB8F" w14:textId="77777777" w:rsidR="00AC6275"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5041100D" w14:textId="77777777" w:rsidR="00AC6275" w:rsidRPr="00E62429" w:rsidRDefault="00AC6275" w:rsidP="00AC6275">
      <w:pPr>
        <w:spacing w:after="100" w:afterAutospacing="1"/>
        <w:jc w:val="both"/>
        <w:rPr>
          <w:rFonts w:ascii="Arial" w:hAnsi="Arial" w:cs="Arial"/>
          <w:sz w:val="20"/>
          <w:szCs w:val="20"/>
        </w:rPr>
      </w:pPr>
    </w:p>
    <w:p w14:paraId="6B1197EA" w14:textId="77777777" w:rsidR="00AC6275" w:rsidRPr="00D2728C" w:rsidRDefault="00AC6275" w:rsidP="00AC6275">
      <w:pPr>
        <w:spacing w:after="100" w:afterAutospacing="1"/>
        <w:jc w:val="both"/>
        <w:rPr>
          <w:rFonts w:ascii="Arial" w:hAnsi="Arial" w:cs="Arial"/>
          <w:b/>
          <w:sz w:val="20"/>
          <w:szCs w:val="20"/>
        </w:rPr>
      </w:pPr>
      <w:r w:rsidRPr="00D2728C">
        <w:rPr>
          <w:rFonts w:ascii="Arial" w:hAnsi="Arial" w:cs="Arial"/>
          <w:b/>
          <w:sz w:val="20"/>
          <w:szCs w:val="20"/>
        </w:rPr>
        <w:t>d) Inversiones en empresas de participación minoritaria:</w:t>
      </w:r>
    </w:p>
    <w:p w14:paraId="1CFDDA01"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51A124B7" w14:textId="77777777" w:rsidR="00AC6275" w:rsidRPr="00D2728C" w:rsidRDefault="00AC6275" w:rsidP="00AC6275">
      <w:pPr>
        <w:spacing w:after="100" w:afterAutospacing="1"/>
        <w:rPr>
          <w:rFonts w:ascii="Arial" w:hAnsi="Arial" w:cs="Arial"/>
          <w:b/>
          <w:sz w:val="20"/>
          <w:szCs w:val="20"/>
        </w:rPr>
      </w:pPr>
      <w:r w:rsidRPr="00D2728C">
        <w:rPr>
          <w:rFonts w:ascii="Arial" w:hAnsi="Arial" w:cs="Arial"/>
          <w:b/>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AC6275" w:rsidRPr="00E62429" w14:paraId="3789C8BC" w14:textId="77777777" w:rsidTr="00287800">
        <w:tc>
          <w:tcPr>
            <w:tcW w:w="2992" w:type="dxa"/>
            <w:shd w:val="clear" w:color="auto" w:fill="auto"/>
          </w:tcPr>
          <w:p w14:paraId="2E0A5DD8" w14:textId="77777777" w:rsidR="00AC6275" w:rsidRPr="00E62429" w:rsidRDefault="00AC6275" w:rsidP="00287800">
            <w:pPr>
              <w:spacing w:after="100" w:afterAutospacing="1"/>
              <w:jc w:val="center"/>
              <w:rPr>
                <w:rFonts w:ascii="Arial" w:hAnsi="Arial" w:cs="Arial"/>
                <w:b/>
                <w:sz w:val="20"/>
                <w:szCs w:val="20"/>
              </w:rPr>
            </w:pPr>
            <w:r w:rsidRPr="00E62429">
              <w:rPr>
                <w:rFonts w:ascii="Arial" w:hAnsi="Arial" w:cs="Arial"/>
                <w:b/>
                <w:sz w:val="20"/>
                <w:szCs w:val="20"/>
              </w:rPr>
              <w:t>CONCEPTO</w:t>
            </w:r>
          </w:p>
        </w:tc>
        <w:tc>
          <w:tcPr>
            <w:tcW w:w="2993" w:type="dxa"/>
          </w:tcPr>
          <w:p w14:paraId="5EBEE762" w14:textId="01C5A51E" w:rsidR="00AC6275" w:rsidRPr="00E62429" w:rsidRDefault="00AC6275" w:rsidP="00287800">
            <w:pPr>
              <w:spacing w:after="100" w:afterAutospacing="1"/>
              <w:jc w:val="center"/>
              <w:rPr>
                <w:rFonts w:ascii="Arial" w:hAnsi="Arial" w:cs="Arial"/>
                <w:b/>
                <w:sz w:val="20"/>
                <w:szCs w:val="20"/>
              </w:rPr>
            </w:pPr>
            <w:r>
              <w:rPr>
                <w:rFonts w:ascii="Arial" w:hAnsi="Arial" w:cs="Arial"/>
                <w:b/>
                <w:sz w:val="20"/>
                <w:szCs w:val="20"/>
              </w:rPr>
              <w:t>SALDO AL 31</w:t>
            </w:r>
            <w:r w:rsidRPr="00E62429">
              <w:rPr>
                <w:rFonts w:ascii="Arial" w:hAnsi="Arial" w:cs="Arial"/>
                <w:b/>
                <w:sz w:val="20"/>
                <w:szCs w:val="20"/>
              </w:rPr>
              <w:t xml:space="preserve"> DE </w:t>
            </w:r>
            <w:r w:rsidR="00D16088">
              <w:rPr>
                <w:rFonts w:ascii="Arial" w:hAnsi="Arial" w:cs="Arial"/>
                <w:b/>
                <w:sz w:val="20"/>
                <w:szCs w:val="20"/>
              </w:rPr>
              <w:t>DICIEMBRE DE 2021</w:t>
            </w:r>
          </w:p>
        </w:tc>
        <w:tc>
          <w:tcPr>
            <w:tcW w:w="2993" w:type="dxa"/>
          </w:tcPr>
          <w:p w14:paraId="5CBF721E" w14:textId="00361D82" w:rsidR="00AC6275" w:rsidRPr="00E62429" w:rsidRDefault="00AC6275" w:rsidP="00B35A63">
            <w:pPr>
              <w:spacing w:after="100" w:afterAutospacing="1"/>
              <w:jc w:val="center"/>
              <w:rPr>
                <w:rFonts w:ascii="Arial" w:hAnsi="Arial" w:cs="Arial"/>
                <w:b/>
                <w:sz w:val="20"/>
                <w:szCs w:val="20"/>
              </w:rPr>
            </w:pPr>
            <w:r>
              <w:rPr>
                <w:rFonts w:ascii="Arial" w:hAnsi="Arial" w:cs="Arial"/>
                <w:b/>
                <w:sz w:val="20"/>
                <w:szCs w:val="20"/>
              </w:rPr>
              <w:t>SALDO AL 3</w:t>
            </w:r>
            <w:r w:rsidR="00B35A63">
              <w:rPr>
                <w:rFonts w:ascii="Arial" w:hAnsi="Arial" w:cs="Arial"/>
                <w:b/>
                <w:sz w:val="20"/>
                <w:szCs w:val="20"/>
              </w:rPr>
              <w:t>0</w:t>
            </w:r>
            <w:r w:rsidRPr="00E62429">
              <w:rPr>
                <w:rFonts w:ascii="Arial" w:hAnsi="Arial" w:cs="Arial"/>
                <w:b/>
                <w:sz w:val="20"/>
                <w:szCs w:val="20"/>
              </w:rPr>
              <w:t xml:space="preserve"> DE</w:t>
            </w:r>
            <w:r w:rsidR="00D16088">
              <w:rPr>
                <w:rFonts w:ascii="Arial" w:hAnsi="Arial" w:cs="Arial"/>
                <w:b/>
                <w:sz w:val="20"/>
                <w:szCs w:val="20"/>
              </w:rPr>
              <w:t xml:space="preserve"> </w:t>
            </w:r>
            <w:r w:rsidR="00B35A63">
              <w:rPr>
                <w:rFonts w:ascii="Arial" w:hAnsi="Arial" w:cs="Arial"/>
                <w:b/>
                <w:sz w:val="20"/>
                <w:szCs w:val="20"/>
              </w:rPr>
              <w:t>JUNIO</w:t>
            </w:r>
            <w:r w:rsidR="00D16088">
              <w:rPr>
                <w:rFonts w:ascii="Arial" w:hAnsi="Arial" w:cs="Arial"/>
                <w:b/>
                <w:sz w:val="20"/>
                <w:szCs w:val="20"/>
              </w:rPr>
              <w:t xml:space="preserve"> DE 2022</w:t>
            </w:r>
          </w:p>
        </w:tc>
      </w:tr>
      <w:tr w:rsidR="00D16088" w:rsidRPr="00E62429" w14:paraId="6589A384" w14:textId="77777777" w:rsidTr="00287800">
        <w:tc>
          <w:tcPr>
            <w:tcW w:w="2992" w:type="dxa"/>
            <w:shd w:val="clear" w:color="auto" w:fill="auto"/>
          </w:tcPr>
          <w:p w14:paraId="3BE693FD" w14:textId="77777777" w:rsidR="00D16088" w:rsidRPr="00E62429" w:rsidRDefault="00D16088" w:rsidP="00D16088">
            <w:pPr>
              <w:spacing w:after="100" w:afterAutospacing="1"/>
              <w:jc w:val="both"/>
              <w:rPr>
                <w:rFonts w:ascii="Arial" w:hAnsi="Arial" w:cs="Arial"/>
                <w:sz w:val="20"/>
                <w:szCs w:val="20"/>
              </w:rPr>
            </w:pPr>
            <w:r w:rsidRPr="00E62429">
              <w:rPr>
                <w:rFonts w:ascii="Arial" w:hAnsi="Arial" w:cs="Arial"/>
                <w:sz w:val="20"/>
                <w:szCs w:val="20"/>
              </w:rPr>
              <w:t>BIENES MUEBLES</w:t>
            </w:r>
          </w:p>
        </w:tc>
        <w:tc>
          <w:tcPr>
            <w:tcW w:w="2993" w:type="dxa"/>
          </w:tcPr>
          <w:p w14:paraId="17C81386" w14:textId="7F34768F" w:rsidR="00D16088" w:rsidRPr="00E62429" w:rsidRDefault="00D16088" w:rsidP="00D16088">
            <w:pPr>
              <w:spacing w:after="100" w:afterAutospacing="1"/>
              <w:jc w:val="right"/>
              <w:rPr>
                <w:rFonts w:ascii="Arial" w:hAnsi="Arial" w:cs="Arial"/>
                <w:sz w:val="20"/>
                <w:szCs w:val="20"/>
              </w:rPr>
            </w:pPr>
            <w:r>
              <w:rPr>
                <w:rFonts w:ascii="Arial" w:hAnsi="Arial" w:cs="Arial"/>
                <w:sz w:val="20"/>
                <w:szCs w:val="20"/>
              </w:rPr>
              <w:t>97’015,465.49</w:t>
            </w:r>
          </w:p>
        </w:tc>
        <w:tc>
          <w:tcPr>
            <w:tcW w:w="2993" w:type="dxa"/>
          </w:tcPr>
          <w:p w14:paraId="71A1C183" w14:textId="752F98D6" w:rsidR="00D16088" w:rsidRPr="00E62429" w:rsidRDefault="0095167B" w:rsidP="00417339">
            <w:pPr>
              <w:spacing w:after="100" w:afterAutospacing="1"/>
              <w:jc w:val="right"/>
              <w:rPr>
                <w:rFonts w:ascii="Arial" w:hAnsi="Arial" w:cs="Arial"/>
                <w:sz w:val="20"/>
                <w:szCs w:val="20"/>
              </w:rPr>
            </w:pPr>
            <w:r w:rsidRPr="0095167B">
              <w:rPr>
                <w:rFonts w:ascii="Arial" w:hAnsi="Arial" w:cs="Arial"/>
                <w:sz w:val="20"/>
                <w:szCs w:val="20"/>
              </w:rPr>
              <w:t>96,</w:t>
            </w:r>
            <w:r w:rsidR="00417339">
              <w:rPr>
                <w:rFonts w:ascii="Arial" w:hAnsi="Arial" w:cs="Arial"/>
                <w:sz w:val="20"/>
                <w:szCs w:val="20"/>
              </w:rPr>
              <w:t>221</w:t>
            </w:r>
            <w:r w:rsidRPr="0095167B">
              <w:rPr>
                <w:rFonts w:ascii="Arial" w:hAnsi="Arial" w:cs="Arial"/>
                <w:sz w:val="20"/>
                <w:szCs w:val="20"/>
              </w:rPr>
              <w:t>,</w:t>
            </w:r>
            <w:r w:rsidR="00417339">
              <w:rPr>
                <w:rFonts w:ascii="Arial" w:hAnsi="Arial" w:cs="Arial"/>
                <w:sz w:val="20"/>
                <w:szCs w:val="20"/>
              </w:rPr>
              <w:t>030</w:t>
            </w:r>
            <w:r w:rsidRPr="0095167B">
              <w:rPr>
                <w:rFonts w:ascii="Arial" w:hAnsi="Arial" w:cs="Arial"/>
                <w:sz w:val="20"/>
                <w:szCs w:val="20"/>
              </w:rPr>
              <w:t>.</w:t>
            </w:r>
            <w:r w:rsidR="00417339">
              <w:rPr>
                <w:rFonts w:ascii="Arial" w:hAnsi="Arial" w:cs="Arial"/>
                <w:sz w:val="20"/>
                <w:szCs w:val="20"/>
              </w:rPr>
              <w:t>85</w:t>
            </w:r>
            <w:r w:rsidR="00B3400D">
              <w:rPr>
                <w:rFonts w:ascii="Arial" w:hAnsi="Arial" w:cs="Arial"/>
                <w:sz w:val="20"/>
                <w:szCs w:val="20"/>
              </w:rPr>
              <w:t>G</w:t>
            </w:r>
          </w:p>
        </w:tc>
      </w:tr>
      <w:tr w:rsidR="00D16088" w:rsidRPr="00E62429" w14:paraId="4F0C950F" w14:textId="77777777" w:rsidTr="00287800">
        <w:tc>
          <w:tcPr>
            <w:tcW w:w="2992" w:type="dxa"/>
            <w:shd w:val="clear" w:color="auto" w:fill="auto"/>
          </w:tcPr>
          <w:p w14:paraId="6C52F291" w14:textId="77777777" w:rsidR="00D16088" w:rsidRPr="00E62429" w:rsidRDefault="00D16088" w:rsidP="00D16088">
            <w:pPr>
              <w:spacing w:after="100" w:afterAutospacing="1"/>
              <w:jc w:val="both"/>
              <w:rPr>
                <w:rFonts w:ascii="Arial" w:hAnsi="Arial" w:cs="Arial"/>
                <w:sz w:val="20"/>
                <w:szCs w:val="20"/>
              </w:rPr>
            </w:pPr>
            <w:r w:rsidRPr="00E62429">
              <w:rPr>
                <w:rFonts w:ascii="Arial" w:hAnsi="Arial" w:cs="Arial"/>
                <w:sz w:val="20"/>
                <w:szCs w:val="20"/>
              </w:rPr>
              <w:t>OBRA</w:t>
            </w:r>
          </w:p>
        </w:tc>
        <w:tc>
          <w:tcPr>
            <w:tcW w:w="2993" w:type="dxa"/>
          </w:tcPr>
          <w:p w14:paraId="453088EE" w14:textId="3A53AD9A" w:rsidR="00D16088" w:rsidRPr="00E62429" w:rsidRDefault="00D16088" w:rsidP="00D16088">
            <w:pPr>
              <w:spacing w:after="100" w:afterAutospacing="1"/>
              <w:jc w:val="right"/>
              <w:rPr>
                <w:rFonts w:ascii="Arial" w:hAnsi="Arial" w:cs="Arial"/>
                <w:sz w:val="20"/>
                <w:szCs w:val="20"/>
              </w:rPr>
            </w:pPr>
            <w:r>
              <w:rPr>
                <w:rFonts w:ascii="Arial" w:hAnsi="Arial" w:cs="Arial"/>
                <w:sz w:val="20"/>
                <w:szCs w:val="20"/>
              </w:rPr>
              <w:t>98’157,471.32</w:t>
            </w:r>
          </w:p>
        </w:tc>
        <w:tc>
          <w:tcPr>
            <w:tcW w:w="2993" w:type="dxa"/>
          </w:tcPr>
          <w:p w14:paraId="7201EDCC" w14:textId="77777777" w:rsidR="00D16088" w:rsidRPr="00E62429" w:rsidRDefault="00D16088" w:rsidP="00D16088">
            <w:pPr>
              <w:spacing w:after="100" w:afterAutospacing="1"/>
              <w:jc w:val="right"/>
              <w:rPr>
                <w:rFonts w:ascii="Arial" w:hAnsi="Arial" w:cs="Arial"/>
                <w:sz w:val="20"/>
                <w:szCs w:val="20"/>
              </w:rPr>
            </w:pPr>
            <w:r>
              <w:rPr>
                <w:rFonts w:ascii="Arial" w:hAnsi="Arial" w:cs="Arial"/>
                <w:sz w:val="20"/>
                <w:szCs w:val="20"/>
              </w:rPr>
              <w:t>98’157,471.32</w:t>
            </w:r>
          </w:p>
        </w:tc>
      </w:tr>
    </w:tbl>
    <w:p w14:paraId="30BF344C" w14:textId="77777777" w:rsidR="00AC6275" w:rsidRPr="0022136E" w:rsidRDefault="00AC6275" w:rsidP="00AC6275">
      <w:pPr>
        <w:spacing w:after="100" w:afterAutospacing="1"/>
        <w:jc w:val="both"/>
        <w:rPr>
          <w:rFonts w:ascii="Arial" w:hAnsi="Arial" w:cs="Arial"/>
          <w:sz w:val="10"/>
          <w:szCs w:val="10"/>
        </w:rPr>
      </w:pPr>
    </w:p>
    <w:p w14:paraId="324604E7" w14:textId="77777777" w:rsidR="00AC6275" w:rsidRDefault="00AC6275" w:rsidP="00AC6275">
      <w:pPr>
        <w:spacing w:after="100" w:afterAutospacing="1"/>
        <w:jc w:val="both"/>
        <w:rPr>
          <w:rFonts w:ascii="Arial" w:hAnsi="Arial" w:cs="Arial"/>
          <w:sz w:val="20"/>
          <w:szCs w:val="20"/>
        </w:rPr>
      </w:pPr>
      <w:r>
        <w:rPr>
          <w:rFonts w:ascii="Arial" w:hAnsi="Arial" w:cs="Arial"/>
          <w:sz w:val="20"/>
          <w:szCs w:val="20"/>
        </w:rPr>
        <w:t>Cabe hacer mención que a é</w:t>
      </w:r>
      <w:r w:rsidRPr="00E62429">
        <w:rPr>
          <w:rFonts w:ascii="Arial" w:hAnsi="Arial" w:cs="Arial"/>
          <w:sz w:val="20"/>
          <w:szCs w:val="20"/>
        </w:rPr>
        <w:t>sta fecha, está pendiente de realizar la desincorporación de la Universidad Tecnol</w:t>
      </w:r>
      <w:r>
        <w:rPr>
          <w:rFonts w:ascii="Arial" w:hAnsi="Arial" w:cs="Arial"/>
          <w:sz w:val="20"/>
          <w:szCs w:val="20"/>
        </w:rPr>
        <w:t>ógica de San Miguel de Allende.</w:t>
      </w:r>
    </w:p>
    <w:p w14:paraId="4336DBB9"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9. Fideicomisos, Mandatos y Análogos: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2A981ED3"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 Por ramo administrativo que los reporta:</w:t>
      </w:r>
    </w:p>
    <w:p w14:paraId="28E35D98"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sz w:val="20"/>
          <w:szCs w:val="20"/>
        </w:rPr>
        <w:tab/>
      </w:r>
      <w:r>
        <w:rPr>
          <w:rFonts w:ascii="Arial" w:hAnsi="Arial" w:cs="Arial"/>
          <w:b/>
          <w:sz w:val="20"/>
          <w:szCs w:val="20"/>
        </w:rPr>
        <w:t>No aplica</w:t>
      </w:r>
    </w:p>
    <w:p w14:paraId="358A5B00" w14:textId="77777777" w:rsidR="00AC6275" w:rsidRPr="00E62429" w:rsidRDefault="00AC6275" w:rsidP="00AC6275">
      <w:pPr>
        <w:tabs>
          <w:tab w:val="left" w:pos="708"/>
          <w:tab w:val="left" w:pos="1416"/>
          <w:tab w:val="left" w:pos="2124"/>
          <w:tab w:val="left" w:pos="2832"/>
          <w:tab w:val="left" w:pos="3540"/>
          <w:tab w:val="left" w:pos="4248"/>
          <w:tab w:val="left" w:pos="4956"/>
          <w:tab w:val="left" w:pos="11220"/>
        </w:tabs>
        <w:spacing w:after="100" w:afterAutospacing="1"/>
        <w:jc w:val="both"/>
        <w:rPr>
          <w:rFonts w:ascii="Arial" w:hAnsi="Arial" w:cs="Arial"/>
          <w:b/>
          <w:sz w:val="20"/>
          <w:szCs w:val="20"/>
        </w:rPr>
      </w:pPr>
      <w:r w:rsidRPr="00E62429">
        <w:rPr>
          <w:rFonts w:ascii="Arial" w:hAnsi="Arial" w:cs="Arial"/>
          <w:b/>
          <w:sz w:val="20"/>
          <w:szCs w:val="20"/>
        </w:rPr>
        <w:t>10. Reporte de la Recaudación:</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p>
    <w:p w14:paraId="17D1CD1E"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 Análisis del comportamiento de la recaudación correspondiente al ente público o cualquier tipo de ingreso, de forma separada los ingresos locales de los federales:</w:t>
      </w:r>
    </w:p>
    <w:p w14:paraId="66B6C1A0" w14:textId="3E765CAF"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lastRenderedPageBreak/>
        <w:t xml:space="preserve">La Universidad Tecnológica del Norte de Guanajuato tiene tres fuentes de ingreso: los cuales son Subsidio Federal, Subsidio Estatal e Ingresos propios, los cuales al </w:t>
      </w:r>
      <w:r w:rsidR="00B3400D">
        <w:rPr>
          <w:rFonts w:ascii="Arial" w:hAnsi="Arial" w:cs="Arial"/>
          <w:sz w:val="20"/>
          <w:szCs w:val="20"/>
        </w:rPr>
        <w:t>30</w:t>
      </w:r>
      <w:r w:rsidRPr="00E62429">
        <w:rPr>
          <w:rFonts w:ascii="Arial" w:hAnsi="Arial" w:cs="Arial"/>
          <w:sz w:val="20"/>
          <w:szCs w:val="20"/>
        </w:rPr>
        <w:t xml:space="preserve"> de </w:t>
      </w:r>
      <w:r w:rsidR="00B3400D">
        <w:rPr>
          <w:rFonts w:ascii="Arial" w:hAnsi="Arial" w:cs="Arial"/>
          <w:sz w:val="20"/>
          <w:szCs w:val="20"/>
        </w:rPr>
        <w:t>junio</w:t>
      </w:r>
      <w:r w:rsidRPr="00E62429">
        <w:rPr>
          <w:rFonts w:ascii="Arial" w:hAnsi="Arial" w:cs="Arial"/>
          <w:sz w:val="20"/>
          <w:szCs w:val="20"/>
        </w:rPr>
        <w:t xml:space="preserve"> ascienden a un importe de:</w:t>
      </w:r>
    </w:p>
    <w:p w14:paraId="0C2F0D24" w14:textId="7F62FFA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Federal                </w:t>
      </w:r>
      <w:r w:rsidR="000A197D">
        <w:rPr>
          <w:rFonts w:ascii="Arial" w:hAnsi="Arial" w:cs="Arial"/>
          <w:sz w:val="20"/>
          <w:szCs w:val="20"/>
        </w:rPr>
        <w:t xml:space="preserve">  </w:t>
      </w:r>
      <w:r w:rsidRPr="00E62429">
        <w:rPr>
          <w:rFonts w:ascii="Arial" w:hAnsi="Arial" w:cs="Arial"/>
          <w:sz w:val="20"/>
          <w:szCs w:val="20"/>
        </w:rPr>
        <w:t xml:space="preserve"> </w:t>
      </w:r>
      <w:r w:rsidR="00DD704B" w:rsidRPr="00DD704B">
        <w:rPr>
          <w:rFonts w:ascii="Arial" w:hAnsi="Arial" w:cs="Arial"/>
          <w:sz w:val="20"/>
          <w:szCs w:val="20"/>
        </w:rPr>
        <w:t xml:space="preserve"> </w:t>
      </w:r>
      <w:r w:rsidR="00DD704B">
        <w:rPr>
          <w:rFonts w:ascii="Arial" w:hAnsi="Arial" w:cs="Arial"/>
          <w:sz w:val="20"/>
          <w:szCs w:val="20"/>
        </w:rPr>
        <w:t xml:space="preserve"> </w:t>
      </w:r>
      <w:r w:rsidR="00DD704B" w:rsidRPr="00DD704B">
        <w:rPr>
          <w:rFonts w:ascii="Arial" w:hAnsi="Arial" w:cs="Arial"/>
          <w:sz w:val="20"/>
          <w:szCs w:val="20"/>
        </w:rPr>
        <w:t>22,955,345.90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62429">
        <w:rPr>
          <w:rFonts w:ascii="Arial" w:hAnsi="Arial" w:cs="Arial"/>
          <w:sz w:val="20"/>
          <w:szCs w:val="20"/>
        </w:rPr>
        <w:tab/>
      </w:r>
    </w:p>
    <w:p w14:paraId="0417D4C8" w14:textId="6795F849" w:rsidR="00AC6275"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Estatal                  </w:t>
      </w:r>
      <w:r>
        <w:rPr>
          <w:rFonts w:ascii="Arial" w:hAnsi="Arial" w:cs="Arial"/>
          <w:sz w:val="20"/>
          <w:szCs w:val="20"/>
        </w:rPr>
        <w:t xml:space="preserve">  </w:t>
      </w:r>
      <w:r w:rsidR="000A197D" w:rsidRPr="000A197D">
        <w:rPr>
          <w:rFonts w:ascii="Arial" w:hAnsi="Arial" w:cs="Arial"/>
          <w:sz w:val="20"/>
          <w:szCs w:val="20"/>
        </w:rPr>
        <w:t xml:space="preserve"> </w:t>
      </w:r>
      <w:r w:rsidR="00DD704B" w:rsidRPr="00DD704B">
        <w:rPr>
          <w:rFonts w:ascii="Arial" w:hAnsi="Arial" w:cs="Arial"/>
          <w:sz w:val="20"/>
          <w:szCs w:val="20"/>
        </w:rPr>
        <w:t xml:space="preserve"> 22,210,792.76</w:t>
      </w:r>
      <w:r>
        <w:rPr>
          <w:rFonts w:ascii="Arial" w:hAnsi="Arial" w:cs="Arial"/>
          <w:sz w:val="20"/>
          <w:szCs w:val="20"/>
        </w:rPr>
        <w:tab/>
      </w:r>
    </w:p>
    <w:p w14:paraId="214AA0B3" w14:textId="063B68B2"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Ingresos Propios   </w:t>
      </w:r>
      <w:r>
        <w:rPr>
          <w:rFonts w:ascii="Arial" w:hAnsi="Arial" w:cs="Arial"/>
          <w:sz w:val="20"/>
          <w:szCs w:val="20"/>
        </w:rPr>
        <w:t xml:space="preserve"> </w:t>
      </w:r>
      <w:r w:rsidR="0018637B">
        <w:rPr>
          <w:rFonts w:ascii="Arial" w:hAnsi="Arial" w:cs="Arial"/>
          <w:sz w:val="20"/>
          <w:szCs w:val="20"/>
        </w:rPr>
        <w:t xml:space="preserve">   </w:t>
      </w:r>
      <w:r w:rsidR="00143ABA" w:rsidRPr="00143ABA">
        <w:rPr>
          <w:rFonts w:ascii="Arial" w:hAnsi="Arial" w:cs="Arial"/>
          <w:sz w:val="20"/>
          <w:szCs w:val="20"/>
        </w:rPr>
        <w:t xml:space="preserve"> 5,961,673.81</w:t>
      </w:r>
    </w:p>
    <w:p w14:paraId="4703B4AA" w14:textId="52453DED" w:rsidR="00AC6275" w:rsidRDefault="00AC6275" w:rsidP="00AC6275">
      <w:pPr>
        <w:spacing w:after="100" w:afterAutospacing="1"/>
        <w:jc w:val="both"/>
        <w:rPr>
          <w:rFonts w:ascii="Arial" w:hAnsi="Arial" w:cs="Arial"/>
          <w:sz w:val="20"/>
          <w:szCs w:val="20"/>
        </w:rPr>
      </w:pPr>
      <w:r w:rsidRPr="00E62429">
        <w:rPr>
          <w:rFonts w:ascii="Arial" w:hAnsi="Arial" w:cs="Arial"/>
          <w:sz w:val="20"/>
          <w:szCs w:val="20"/>
        </w:rPr>
        <w:t>Importes que están acordes con el pronóstic</w:t>
      </w:r>
      <w:r>
        <w:rPr>
          <w:rFonts w:ascii="Arial" w:hAnsi="Arial" w:cs="Arial"/>
          <w:sz w:val="20"/>
          <w:szCs w:val="20"/>
        </w:rPr>
        <w:t>o de ingresos de la Institución (no incluyen otros proyectos de origen federal y/o estatal</w:t>
      </w:r>
      <w:r w:rsidR="00DB3F32">
        <w:rPr>
          <w:rFonts w:ascii="Arial" w:hAnsi="Arial" w:cs="Arial"/>
          <w:sz w:val="20"/>
          <w:szCs w:val="20"/>
        </w:rPr>
        <w:t>).</w:t>
      </w:r>
      <w:r>
        <w:rPr>
          <w:rFonts w:ascii="Arial" w:hAnsi="Arial" w:cs="Arial"/>
          <w:sz w:val="20"/>
          <w:szCs w:val="20"/>
        </w:rPr>
        <w:t xml:space="preserve"> </w:t>
      </w:r>
    </w:p>
    <w:p w14:paraId="7436BC17" w14:textId="77777777" w:rsidR="00AC6275" w:rsidRPr="00E62429" w:rsidRDefault="00AC6275" w:rsidP="00AC6275">
      <w:pPr>
        <w:spacing w:after="100" w:afterAutospacing="1"/>
        <w:jc w:val="both"/>
        <w:rPr>
          <w:rFonts w:ascii="Arial" w:hAnsi="Arial" w:cs="Arial"/>
          <w:sz w:val="20"/>
          <w:szCs w:val="20"/>
        </w:rPr>
      </w:pPr>
    </w:p>
    <w:p w14:paraId="72DAB27E"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b) Proyección de la recaudación e ingresos en el mediano plazo:</w:t>
      </w:r>
    </w:p>
    <w:p w14:paraId="4AFE7A98" w14:textId="002E6B94" w:rsidR="00AC6275" w:rsidRPr="00E62429" w:rsidRDefault="00AC6275" w:rsidP="00AC6275">
      <w:pPr>
        <w:spacing w:after="100" w:afterAutospacing="1"/>
        <w:jc w:val="both"/>
        <w:rPr>
          <w:rFonts w:ascii="Arial" w:hAnsi="Arial" w:cs="Arial"/>
          <w:sz w:val="20"/>
          <w:szCs w:val="20"/>
        </w:rPr>
      </w:pPr>
      <w:r>
        <w:rPr>
          <w:rFonts w:ascii="Arial" w:hAnsi="Arial" w:cs="Arial"/>
          <w:sz w:val="20"/>
          <w:szCs w:val="20"/>
        </w:rPr>
        <w:t xml:space="preserve">Recaudado          </w:t>
      </w:r>
      <w:r w:rsidR="00F14FBE">
        <w:rPr>
          <w:rFonts w:ascii="Arial" w:hAnsi="Arial" w:cs="Arial"/>
          <w:sz w:val="20"/>
          <w:szCs w:val="20"/>
        </w:rPr>
        <w:t xml:space="preserve">  </w:t>
      </w:r>
      <w:r>
        <w:rPr>
          <w:rFonts w:ascii="Arial" w:hAnsi="Arial" w:cs="Arial"/>
          <w:sz w:val="20"/>
          <w:szCs w:val="20"/>
        </w:rPr>
        <w:t xml:space="preserve"> </w:t>
      </w:r>
      <w:r w:rsidR="0076279F" w:rsidRPr="00143ABA">
        <w:rPr>
          <w:rFonts w:ascii="Arial" w:hAnsi="Arial" w:cs="Arial"/>
          <w:sz w:val="20"/>
          <w:szCs w:val="20"/>
        </w:rPr>
        <w:t>5,961,673.81</w:t>
      </w:r>
      <w:r>
        <w:rPr>
          <w:rFonts w:ascii="Arial" w:hAnsi="Arial" w:cs="Arial"/>
          <w:sz w:val="20"/>
          <w:szCs w:val="20"/>
        </w:rPr>
        <w:tab/>
      </w:r>
      <w:r>
        <w:rPr>
          <w:rFonts w:ascii="Arial" w:hAnsi="Arial" w:cs="Arial"/>
          <w:sz w:val="20"/>
          <w:szCs w:val="20"/>
        </w:rPr>
        <w:tab/>
      </w:r>
    </w:p>
    <w:p w14:paraId="1FB1E593" w14:textId="2900A5AD" w:rsidR="00AC6275" w:rsidRPr="00E62429" w:rsidRDefault="00AC6275" w:rsidP="00AC6275">
      <w:pPr>
        <w:spacing w:after="100" w:afterAutospacing="1"/>
        <w:ind w:left="1416" w:hanging="1416"/>
        <w:jc w:val="both"/>
        <w:rPr>
          <w:rFonts w:ascii="Arial" w:hAnsi="Arial" w:cs="Arial"/>
          <w:sz w:val="20"/>
          <w:szCs w:val="20"/>
        </w:rPr>
      </w:pPr>
      <w:r w:rsidRPr="00E62429">
        <w:rPr>
          <w:rFonts w:ascii="Arial" w:hAnsi="Arial" w:cs="Arial"/>
          <w:sz w:val="20"/>
          <w:szCs w:val="20"/>
        </w:rPr>
        <w:t xml:space="preserve">Por recaudar        </w:t>
      </w:r>
      <w:r w:rsidR="0076279F">
        <w:rPr>
          <w:rFonts w:ascii="Arial" w:hAnsi="Arial" w:cs="Arial"/>
          <w:sz w:val="20"/>
          <w:szCs w:val="20"/>
        </w:rPr>
        <w:t xml:space="preserve"> 10</w:t>
      </w:r>
      <w:r w:rsidR="00F14FBE">
        <w:rPr>
          <w:rFonts w:ascii="Arial" w:hAnsi="Arial" w:cs="Arial"/>
          <w:sz w:val="20"/>
          <w:szCs w:val="20"/>
        </w:rPr>
        <w:t>,</w:t>
      </w:r>
      <w:r w:rsidR="0076279F">
        <w:rPr>
          <w:rFonts w:ascii="Arial" w:hAnsi="Arial" w:cs="Arial"/>
          <w:sz w:val="20"/>
          <w:szCs w:val="20"/>
        </w:rPr>
        <w:t>08</w:t>
      </w:r>
      <w:r w:rsidR="00F14FBE">
        <w:rPr>
          <w:rFonts w:ascii="Arial" w:hAnsi="Arial" w:cs="Arial"/>
          <w:sz w:val="20"/>
          <w:szCs w:val="20"/>
        </w:rPr>
        <w:t>4,</w:t>
      </w:r>
      <w:r w:rsidR="0076279F">
        <w:rPr>
          <w:rFonts w:ascii="Arial" w:hAnsi="Arial" w:cs="Arial"/>
          <w:sz w:val="20"/>
          <w:szCs w:val="20"/>
        </w:rPr>
        <w:t>419</w:t>
      </w:r>
      <w:r w:rsidR="00F14FBE">
        <w:rPr>
          <w:rFonts w:ascii="Arial" w:hAnsi="Arial" w:cs="Arial"/>
          <w:sz w:val="20"/>
          <w:szCs w:val="20"/>
        </w:rPr>
        <w:t>.</w:t>
      </w:r>
      <w:r w:rsidR="0076279F">
        <w:rPr>
          <w:rFonts w:ascii="Arial" w:hAnsi="Arial" w:cs="Arial"/>
          <w:sz w:val="20"/>
          <w:szCs w:val="20"/>
        </w:rPr>
        <w:t>1</w:t>
      </w:r>
      <w:r w:rsidR="00F14FBE">
        <w:rPr>
          <w:rFonts w:ascii="Arial" w:hAnsi="Arial" w:cs="Arial"/>
          <w:sz w:val="20"/>
          <w:szCs w:val="20"/>
        </w:rPr>
        <w:t>9</w:t>
      </w:r>
    </w:p>
    <w:p w14:paraId="06C0EF67" w14:textId="3FC85B46"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 xml:space="preserve">Total                      </w:t>
      </w:r>
      <w:r>
        <w:rPr>
          <w:rFonts w:ascii="Arial" w:hAnsi="Arial" w:cs="Arial"/>
          <w:sz w:val="20"/>
          <w:szCs w:val="20"/>
        </w:rPr>
        <w:t>1</w:t>
      </w:r>
      <w:r w:rsidR="00F14FBE">
        <w:rPr>
          <w:rFonts w:ascii="Arial" w:hAnsi="Arial" w:cs="Arial"/>
          <w:sz w:val="20"/>
          <w:szCs w:val="20"/>
        </w:rPr>
        <w:t>6</w:t>
      </w:r>
      <w:r>
        <w:rPr>
          <w:rFonts w:ascii="Arial" w:hAnsi="Arial" w:cs="Arial"/>
          <w:sz w:val="20"/>
          <w:szCs w:val="20"/>
        </w:rPr>
        <w:t>’</w:t>
      </w:r>
      <w:r w:rsidR="00F14FBE">
        <w:rPr>
          <w:rFonts w:ascii="Arial" w:hAnsi="Arial" w:cs="Arial"/>
          <w:sz w:val="20"/>
          <w:szCs w:val="20"/>
        </w:rPr>
        <w:t>046</w:t>
      </w:r>
      <w:r>
        <w:rPr>
          <w:rFonts w:ascii="Arial" w:hAnsi="Arial" w:cs="Arial"/>
          <w:sz w:val="20"/>
          <w:szCs w:val="20"/>
        </w:rPr>
        <w:t>,</w:t>
      </w:r>
      <w:r w:rsidR="00F14FBE">
        <w:rPr>
          <w:rFonts w:ascii="Arial" w:hAnsi="Arial" w:cs="Arial"/>
          <w:sz w:val="20"/>
          <w:szCs w:val="20"/>
        </w:rPr>
        <w:t>093</w:t>
      </w:r>
      <w:r>
        <w:rPr>
          <w:rFonts w:ascii="Arial" w:hAnsi="Arial" w:cs="Arial"/>
          <w:sz w:val="20"/>
          <w:szCs w:val="20"/>
        </w:rPr>
        <w:t>.</w:t>
      </w:r>
      <w:r w:rsidR="00F14FBE">
        <w:rPr>
          <w:rFonts w:ascii="Arial" w:hAnsi="Arial" w:cs="Arial"/>
          <w:sz w:val="20"/>
          <w:szCs w:val="20"/>
        </w:rPr>
        <w:t>00</w:t>
      </w:r>
    </w:p>
    <w:p w14:paraId="32AD0255" w14:textId="1B0F978C" w:rsidR="00AC6275" w:rsidRDefault="00AC6275" w:rsidP="00AC6275">
      <w:pPr>
        <w:spacing w:after="100" w:afterAutospacing="1"/>
        <w:ind w:left="708" w:hanging="708"/>
        <w:jc w:val="both"/>
        <w:rPr>
          <w:rFonts w:ascii="Arial" w:hAnsi="Arial" w:cs="Arial"/>
          <w:sz w:val="20"/>
          <w:szCs w:val="20"/>
        </w:rPr>
      </w:pPr>
      <w:r>
        <w:rPr>
          <w:rFonts w:ascii="Arial" w:hAnsi="Arial" w:cs="Arial"/>
          <w:b/>
          <w:sz w:val="20"/>
          <w:szCs w:val="20"/>
        </w:rPr>
        <w:t xml:space="preserve">*Nota: </w:t>
      </w:r>
      <w:r>
        <w:rPr>
          <w:rFonts w:ascii="Arial" w:hAnsi="Arial" w:cs="Arial"/>
          <w:sz w:val="20"/>
          <w:szCs w:val="20"/>
        </w:rPr>
        <w:t>el pronóstico para 202</w:t>
      </w:r>
      <w:r w:rsidR="00DB3F32">
        <w:rPr>
          <w:rFonts w:ascii="Arial" w:hAnsi="Arial" w:cs="Arial"/>
          <w:sz w:val="20"/>
          <w:szCs w:val="20"/>
        </w:rPr>
        <w:t>2</w:t>
      </w:r>
      <w:r>
        <w:rPr>
          <w:rFonts w:ascii="Arial" w:hAnsi="Arial" w:cs="Arial"/>
          <w:sz w:val="20"/>
          <w:szCs w:val="20"/>
        </w:rPr>
        <w:t xml:space="preserve"> </w:t>
      </w:r>
      <w:r w:rsidR="00DB3F32">
        <w:rPr>
          <w:rFonts w:ascii="Arial" w:hAnsi="Arial" w:cs="Arial"/>
          <w:sz w:val="20"/>
          <w:szCs w:val="20"/>
        </w:rPr>
        <w:t>es</w:t>
      </w:r>
      <w:r>
        <w:rPr>
          <w:rFonts w:ascii="Arial" w:hAnsi="Arial" w:cs="Arial"/>
          <w:sz w:val="20"/>
          <w:szCs w:val="20"/>
        </w:rPr>
        <w:t xml:space="preserve"> de $ </w:t>
      </w:r>
      <w:r w:rsidR="00E004A3">
        <w:rPr>
          <w:rFonts w:ascii="Arial" w:hAnsi="Arial" w:cs="Arial"/>
          <w:sz w:val="20"/>
          <w:szCs w:val="20"/>
        </w:rPr>
        <w:t>16</w:t>
      </w:r>
      <w:r>
        <w:rPr>
          <w:rFonts w:ascii="Arial" w:hAnsi="Arial" w:cs="Arial"/>
          <w:sz w:val="20"/>
          <w:szCs w:val="20"/>
        </w:rPr>
        <w:t>’</w:t>
      </w:r>
      <w:r w:rsidR="00E004A3">
        <w:rPr>
          <w:rFonts w:ascii="Arial" w:hAnsi="Arial" w:cs="Arial"/>
          <w:sz w:val="20"/>
          <w:szCs w:val="20"/>
        </w:rPr>
        <w:t>046</w:t>
      </w:r>
      <w:r>
        <w:rPr>
          <w:rFonts w:ascii="Arial" w:hAnsi="Arial" w:cs="Arial"/>
          <w:sz w:val="20"/>
          <w:szCs w:val="20"/>
        </w:rPr>
        <w:t>,</w:t>
      </w:r>
      <w:r w:rsidR="00E004A3">
        <w:rPr>
          <w:rFonts w:ascii="Arial" w:hAnsi="Arial" w:cs="Arial"/>
          <w:sz w:val="20"/>
          <w:szCs w:val="20"/>
        </w:rPr>
        <w:t>093</w:t>
      </w:r>
      <w:r>
        <w:rPr>
          <w:rFonts w:ascii="Arial" w:hAnsi="Arial" w:cs="Arial"/>
          <w:sz w:val="20"/>
          <w:szCs w:val="20"/>
        </w:rPr>
        <w:t>.</w:t>
      </w:r>
      <w:r w:rsidR="00E004A3">
        <w:rPr>
          <w:rFonts w:ascii="Arial" w:hAnsi="Arial" w:cs="Arial"/>
          <w:sz w:val="20"/>
          <w:szCs w:val="20"/>
        </w:rPr>
        <w:t>00, incluyendo los conceptos de derechos educativos</w:t>
      </w:r>
      <w:r>
        <w:rPr>
          <w:rFonts w:ascii="Arial" w:hAnsi="Arial" w:cs="Arial"/>
          <w:sz w:val="20"/>
          <w:szCs w:val="20"/>
        </w:rPr>
        <w:t>.</w:t>
      </w:r>
    </w:p>
    <w:p w14:paraId="323F4E65"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11. Información sobre la Deuda y el Reporte Analítico de la Deuda: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1AF5886"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Se informará lo siguiente:</w:t>
      </w:r>
    </w:p>
    <w:p w14:paraId="7EE3F2BA"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 Utilizar al menos los siguientes indicadores: deuda respecto al PIB y deuda respecto a la recaudación tomando, como mínimo, un período igual o menor a 5 años.</w:t>
      </w:r>
    </w:p>
    <w:p w14:paraId="09E3D8E9"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w:t>
      </w:r>
    </w:p>
    <w:p w14:paraId="0505288E"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b) Información de manera agrupada por tipo de valor gubernamental o instrumento financiero en la que se considere intereses, comisiones, tasa, perfil de vencimiento y otros gastos de la deuda.</w:t>
      </w:r>
    </w:p>
    <w:p w14:paraId="31F1951F"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lastRenderedPageBreak/>
        <w:t>No aplica.</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14:paraId="1BF28F52"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12. Calificaciones otorgadas: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370F416"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Informar, tanto del ente público como cualquier transacción realizada, que haya sido sujeta a una calificación crediticia:</w:t>
      </w:r>
    </w:p>
    <w:p w14:paraId="5F50CBC7"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14:paraId="39A67EB0"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13. Proceso de Mejora: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3570745"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Se informará de:</w:t>
      </w:r>
    </w:p>
    <w:p w14:paraId="7CBEBA07"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a) Principales Políticas de control interno:</w:t>
      </w:r>
    </w:p>
    <w:p w14:paraId="3BF3A830"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Se da cumplimientos a las leyes y disposiciones administrativas de Gobierno del Estado.</w:t>
      </w:r>
    </w:p>
    <w:p w14:paraId="0D8806D8"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Se sigue el procedimiento de calidad en todo el proceso de contratación y compras desde su solicitud hasta el pago y resguardo de la documentación comprobatoria.</w:t>
      </w:r>
    </w:p>
    <w:p w14:paraId="367B31EF"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se paga cualquier gasto si no reúne los requisitos de comprobación y fiscal. Salvo los que por su importe y justificación lo ameritan.</w:t>
      </w:r>
    </w:p>
    <w:p w14:paraId="2F3770C5"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b) Medidas de desempeño financiero, metas y alcance:</w:t>
      </w:r>
    </w:p>
    <w:p w14:paraId="7CEE1253" w14:textId="77777777" w:rsidR="00AC6275" w:rsidRDefault="00AC6275" w:rsidP="00AC6275">
      <w:pPr>
        <w:spacing w:after="100" w:afterAutospacing="1"/>
        <w:jc w:val="both"/>
        <w:rPr>
          <w:rFonts w:ascii="Arial" w:hAnsi="Arial" w:cs="Arial"/>
          <w:sz w:val="20"/>
          <w:szCs w:val="20"/>
        </w:rPr>
      </w:pPr>
      <w:r w:rsidRPr="00E62429">
        <w:rPr>
          <w:rFonts w:ascii="Arial" w:hAnsi="Arial" w:cs="Arial"/>
          <w:sz w:val="20"/>
          <w:szCs w:val="20"/>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r w:rsidRPr="00E62429">
        <w:rPr>
          <w:rFonts w:ascii="Arial" w:hAnsi="Arial" w:cs="Arial"/>
          <w:sz w:val="20"/>
          <w:szCs w:val="20"/>
        </w:rPr>
        <w:tab/>
      </w:r>
    </w:p>
    <w:p w14:paraId="5441F569"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14. Información por Segmentos: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01708F58"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637E069"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lastRenderedPageBreak/>
        <w:t>Consecuentemente, esta información contribuye al análisis más preciso de la situación financiera, grados y fuentes de riesgo y crecimiento potencial de negocio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14:paraId="38A8F3E3"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15. Eventos Posteriores al Cierre:</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4A1254E" w14:textId="77777777" w:rsidR="00AC6275" w:rsidRDefault="00AC6275" w:rsidP="00AC6275">
      <w:pPr>
        <w:spacing w:after="100" w:afterAutospacing="1"/>
        <w:jc w:val="both"/>
        <w:rPr>
          <w:rFonts w:ascii="Arial" w:hAnsi="Arial" w:cs="Arial"/>
          <w:sz w:val="20"/>
          <w:szCs w:val="20"/>
        </w:rPr>
      </w:pPr>
      <w:r w:rsidRPr="00E62429">
        <w:rPr>
          <w:rFonts w:ascii="Arial" w:hAnsi="Arial" w:cs="Arial"/>
          <w:sz w:val="20"/>
          <w:szCs w:val="20"/>
        </w:rPr>
        <w:t>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w:t>
      </w:r>
      <w:r>
        <w:rPr>
          <w:rFonts w:ascii="Arial" w:hAnsi="Arial" w:cs="Arial"/>
          <w:sz w:val="20"/>
          <w:szCs w:val="20"/>
        </w:rPr>
        <w:t xml:space="preserve"> </w:t>
      </w:r>
      <w:r w:rsidRPr="00E62429">
        <w:rPr>
          <w:rFonts w:ascii="Arial" w:hAnsi="Arial" w:cs="Arial"/>
          <w:sz w:val="20"/>
          <w:szCs w:val="20"/>
        </w:rPr>
        <w:t>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E62429">
        <w:rPr>
          <w:rFonts w:ascii="Arial" w:hAnsi="Arial" w:cs="Arial"/>
          <w:sz w:val="20"/>
          <w:szCs w:val="20"/>
        </w:rPr>
        <w:cr/>
      </w:r>
    </w:p>
    <w:p w14:paraId="7520F301" w14:textId="77777777" w:rsidR="00AC6275" w:rsidRPr="00E62429" w:rsidRDefault="00AC6275" w:rsidP="00AC6275">
      <w:pPr>
        <w:spacing w:after="100" w:afterAutospacing="1"/>
        <w:jc w:val="both"/>
        <w:rPr>
          <w:rFonts w:ascii="Arial" w:hAnsi="Arial" w:cs="Arial"/>
          <w:b/>
          <w:sz w:val="20"/>
          <w:szCs w:val="20"/>
        </w:rPr>
      </w:pPr>
      <w:r w:rsidRPr="00E62429">
        <w:rPr>
          <w:rFonts w:ascii="Arial" w:hAnsi="Arial" w:cs="Arial"/>
          <w:b/>
          <w:sz w:val="20"/>
          <w:szCs w:val="20"/>
        </w:rPr>
        <w:t>16. Partes Relacionadas: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0C176D1F"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Se debe establecer por escrito que no existen partes relacionadas que pudieran ejercer influencia significativa sobre la toma de decisiones financieras y operativas:</w:t>
      </w:r>
    </w:p>
    <w:p w14:paraId="79C1E632"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14:paraId="553B301B" w14:textId="77777777" w:rsidR="00AC6275" w:rsidRDefault="00AC6275" w:rsidP="00B208F2">
      <w:pPr>
        <w:spacing w:after="100" w:afterAutospacing="1"/>
        <w:ind w:left="709" w:hanging="709"/>
        <w:jc w:val="both"/>
        <w:rPr>
          <w:rFonts w:ascii="Arial" w:hAnsi="Arial" w:cs="Arial"/>
          <w:b/>
          <w:sz w:val="20"/>
          <w:szCs w:val="20"/>
        </w:rPr>
      </w:pPr>
    </w:p>
    <w:p w14:paraId="5AB15D10" w14:textId="77777777" w:rsidR="00AC6275" w:rsidRPr="00E62429" w:rsidRDefault="00AC6275" w:rsidP="00AC6275">
      <w:pPr>
        <w:spacing w:after="100" w:afterAutospacing="1"/>
        <w:jc w:val="both"/>
        <w:rPr>
          <w:rFonts w:ascii="Arial" w:hAnsi="Arial" w:cs="Arial"/>
          <w:sz w:val="20"/>
          <w:szCs w:val="20"/>
        </w:rPr>
      </w:pPr>
      <w:r w:rsidRPr="00E62429">
        <w:rPr>
          <w:rFonts w:ascii="Arial" w:hAnsi="Arial" w:cs="Arial"/>
          <w:b/>
          <w:sz w:val="20"/>
          <w:szCs w:val="20"/>
        </w:rPr>
        <w:t>17. Responsabilidad sobre la presentación razonable de los Estados Financieros:</w:t>
      </w:r>
      <w:r w:rsidRPr="00E62429">
        <w:rPr>
          <w:rFonts w:ascii="Arial" w:hAnsi="Arial" w:cs="Arial"/>
          <w:b/>
          <w:sz w:val="20"/>
          <w:szCs w:val="20"/>
        </w:rPr>
        <w:tab/>
      </w:r>
      <w:r w:rsidRPr="00E62429">
        <w:rPr>
          <w:rFonts w:ascii="Arial" w:hAnsi="Arial" w:cs="Arial"/>
          <w:b/>
          <w:sz w:val="20"/>
          <w:szCs w:val="20"/>
        </w:rPr>
        <w:tab/>
      </w:r>
    </w:p>
    <w:p w14:paraId="614C262C" w14:textId="77777777" w:rsidR="00AC6275" w:rsidRDefault="00AC6275" w:rsidP="00AC6275">
      <w:pPr>
        <w:spacing w:after="100" w:afterAutospacing="1"/>
        <w:jc w:val="both"/>
        <w:rPr>
          <w:rFonts w:ascii="Arial" w:hAnsi="Arial" w:cs="Arial"/>
          <w:sz w:val="20"/>
          <w:szCs w:val="20"/>
        </w:rPr>
      </w:pPr>
      <w:r w:rsidRPr="00E62429">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14:paraId="17D92EB1" w14:textId="29A51E6C" w:rsidR="00E47557" w:rsidRDefault="00E47557" w:rsidP="00FD605A">
      <w:pPr>
        <w:jc w:val="both"/>
        <w:rPr>
          <w:rFonts w:ascii="Arial" w:hAnsi="Arial" w:cs="Arial"/>
          <w:sz w:val="20"/>
          <w:szCs w:val="20"/>
        </w:rPr>
      </w:pPr>
    </w:p>
    <w:p w14:paraId="3E8CF0DF" w14:textId="54C31AA4" w:rsidR="00E47557" w:rsidRDefault="00E47557" w:rsidP="00FD605A">
      <w:pPr>
        <w:jc w:val="both"/>
        <w:rPr>
          <w:rFonts w:ascii="Arial" w:hAnsi="Arial" w:cs="Arial"/>
          <w:sz w:val="20"/>
          <w:szCs w:val="20"/>
        </w:rPr>
      </w:pPr>
    </w:p>
    <w:p w14:paraId="5BE1DA2C" w14:textId="77777777" w:rsidR="006757ED" w:rsidRDefault="006757ED" w:rsidP="00FD605A">
      <w:pPr>
        <w:jc w:val="both"/>
        <w:rPr>
          <w:rFonts w:ascii="Arial" w:hAnsi="Arial" w:cs="Arial"/>
          <w:sz w:val="20"/>
          <w:szCs w:val="20"/>
        </w:rPr>
      </w:pPr>
    </w:p>
    <w:p w14:paraId="1CBF6432" w14:textId="77777777" w:rsidR="00FD605A" w:rsidRPr="003A2EF0" w:rsidRDefault="00FD605A" w:rsidP="00FD605A">
      <w:pPr>
        <w:jc w:val="both"/>
        <w:rPr>
          <w:rFonts w:ascii="Arial" w:hAnsi="Arial" w:cs="Arial"/>
          <w:b/>
        </w:rPr>
      </w:pPr>
      <w:r w:rsidRPr="003A2EF0">
        <w:rPr>
          <w:rFonts w:ascii="Arial" w:hAnsi="Arial" w:cs="Arial"/>
          <w:b/>
        </w:rPr>
        <w:t>Anexo I</w:t>
      </w:r>
    </w:p>
    <w:p w14:paraId="75738C15" w14:textId="77777777" w:rsidR="00FD605A" w:rsidRDefault="00FD605A" w:rsidP="00FD605A">
      <w:pPr>
        <w:jc w:val="both"/>
        <w:rPr>
          <w:rFonts w:ascii="Arial" w:hAnsi="Arial" w:cs="Arial"/>
          <w:sz w:val="20"/>
          <w:szCs w:val="20"/>
        </w:rPr>
      </w:pPr>
    </w:p>
    <w:p w14:paraId="6CD1EB20" w14:textId="719F9F0D" w:rsidR="00FD605A" w:rsidRDefault="00FD605A" w:rsidP="00FD605A">
      <w:pPr>
        <w:jc w:val="both"/>
        <w:rPr>
          <w:rFonts w:ascii="Arial" w:hAnsi="Arial" w:cs="Arial"/>
          <w:sz w:val="20"/>
          <w:szCs w:val="20"/>
        </w:rPr>
      </w:pPr>
      <w:r>
        <w:rPr>
          <w:noProof/>
          <w:lang w:eastAsia="es-MX"/>
        </w:rPr>
        <w:lastRenderedPageBreak/>
        <w:drawing>
          <wp:inline distT="0" distB="0" distL="0" distR="0" wp14:anchorId="3A241D95" wp14:editId="168F9D32">
            <wp:extent cx="8248650" cy="3124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48650" cy="3124200"/>
                    </a:xfrm>
                    <a:prstGeom prst="rect">
                      <a:avLst/>
                    </a:prstGeom>
                    <a:noFill/>
                    <a:ln>
                      <a:noFill/>
                    </a:ln>
                  </pic:spPr>
                </pic:pic>
              </a:graphicData>
            </a:graphic>
          </wp:inline>
        </w:drawing>
      </w:r>
    </w:p>
    <w:p w14:paraId="4C36213C" w14:textId="77777777" w:rsidR="00FD605A" w:rsidRDefault="00FD605A" w:rsidP="00FD605A">
      <w:pPr>
        <w:jc w:val="both"/>
        <w:rPr>
          <w:rFonts w:ascii="Arial" w:hAnsi="Arial" w:cs="Arial"/>
          <w:sz w:val="20"/>
          <w:szCs w:val="20"/>
        </w:rPr>
      </w:pPr>
    </w:p>
    <w:p w14:paraId="53A5E951" w14:textId="77777777" w:rsidR="00FD605A" w:rsidRDefault="00FD605A" w:rsidP="00FD605A">
      <w:pPr>
        <w:jc w:val="both"/>
        <w:rPr>
          <w:rFonts w:ascii="Arial" w:hAnsi="Arial" w:cs="Arial"/>
          <w:sz w:val="20"/>
          <w:szCs w:val="20"/>
        </w:rPr>
      </w:pPr>
    </w:p>
    <w:p w14:paraId="1EF49F32" w14:textId="77777777" w:rsidR="00FD605A" w:rsidRDefault="00FD605A" w:rsidP="00FD605A">
      <w:pPr>
        <w:jc w:val="both"/>
        <w:rPr>
          <w:rFonts w:ascii="Arial" w:hAnsi="Arial" w:cs="Arial"/>
          <w:sz w:val="20"/>
          <w:szCs w:val="20"/>
        </w:rPr>
      </w:pPr>
    </w:p>
    <w:p w14:paraId="298C01AE" w14:textId="77777777" w:rsidR="00FD605A" w:rsidRDefault="00FD605A" w:rsidP="00FD605A">
      <w:pPr>
        <w:jc w:val="both"/>
        <w:rPr>
          <w:rFonts w:ascii="Arial" w:hAnsi="Arial" w:cs="Arial"/>
          <w:sz w:val="20"/>
          <w:szCs w:val="20"/>
        </w:rPr>
      </w:pPr>
    </w:p>
    <w:p w14:paraId="7B2932BE" w14:textId="77777777" w:rsidR="00FD605A" w:rsidRDefault="00FD605A" w:rsidP="00FD605A">
      <w:pPr>
        <w:jc w:val="both"/>
        <w:rPr>
          <w:rFonts w:ascii="Arial" w:hAnsi="Arial" w:cs="Arial"/>
          <w:sz w:val="20"/>
          <w:szCs w:val="20"/>
        </w:rPr>
      </w:pPr>
    </w:p>
    <w:p w14:paraId="768CAE9D" w14:textId="77777777" w:rsidR="00FD605A" w:rsidRDefault="00FD605A" w:rsidP="00FD605A">
      <w:pPr>
        <w:jc w:val="both"/>
        <w:rPr>
          <w:rFonts w:ascii="Arial" w:hAnsi="Arial" w:cs="Arial"/>
          <w:sz w:val="20"/>
          <w:szCs w:val="20"/>
        </w:rPr>
      </w:pPr>
    </w:p>
    <w:p w14:paraId="0E13A62A" w14:textId="77777777" w:rsidR="00FD605A" w:rsidRDefault="00FD605A" w:rsidP="00FD605A">
      <w:pPr>
        <w:jc w:val="both"/>
        <w:rPr>
          <w:rFonts w:ascii="Arial" w:hAnsi="Arial" w:cs="Arial"/>
          <w:sz w:val="20"/>
          <w:szCs w:val="20"/>
        </w:rPr>
      </w:pPr>
    </w:p>
    <w:p w14:paraId="22DA46BE" w14:textId="77777777" w:rsidR="00FD605A" w:rsidRDefault="00FD605A" w:rsidP="00FD605A">
      <w:pPr>
        <w:jc w:val="both"/>
        <w:rPr>
          <w:rFonts w:ascii="Arial" w:hAnsi="Arial" w:cs="Arial"/>
          <w:sz w:val="20"/>
          <w:szCs w:val="20"/>
        </w:rPr>
      </w:pPr>
    </w:p>
    <w:p w14:paraId="6CA94AA9" w14:textId="77777777" w:rsidR="00FD605A" w:rsidRDefault="00FD605A" w:rsidP="00FD605A">
      <w:pPr>
        <w:jc w:val="both"/>
        <w:rPr>
          <w:rFonts w:ascii="Arial" w:hAnsi="Arial" w:cs="Arial"/>
          <w:sz w:val="20"/>
          <w:szCs w:val="20"/>
        </w:rPr>
      </w:pPr>
      <w:r>
        <w:rPr>
          <w:noProof/>
          <w:lang w:eastAsia="es-MX"/>
        </w:rPr>
        <w:lastRenderedPageBreak/>
        <w:drawing>
          <wp:inline distT="0" distB="0" distL="0" distR="0" wp14:anchorId="1E8E4642" wp14:editId="532A0334">
            <wp:extent cx="8249797" cy="5029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635" cy="5032759"/>
                    </a:xfrm>
                    <a:prstGeom prst="rect">
                      <a:avLst/>
                    </a:prstGeom>
                    <a:noFill/>
                    <a:ln>
                      <a:noFill/>
                    </a:ln>
                  </pic:spPr>
                </pic:pic>
              </a:graphicData>
            </a:graphic>
          </wp:inline>
        </w:drawing>
      </w:r>
    </w:p>
    <w:p w14:paraId="35A2268A" w14:textId="77777777" w:rsidR="00FD605A" w:rsidRDefault="00FD605A" w:rsidP="00FD605A">
      <w:pPr>
        <w:jc w:val="both"/>
        <w:rPr>
          <w:rFonts w:ascii="Arial" w:hAnsi="Arial" w:cs="Arial"/>
          <w:sz w:val="20"/>
          <w:szCs w:val="20"/>
        </w:rPr>
      </w:pPr>
    </w:p>
    <w:p w14:paraId="66353AF4" w14:textId="77777777" w:rsidR="00FD605A" w:rsidRDefault="00FD605A" w:rsidP="00FD605A">
      <w:pPr>
        <w:jc w:val="both"/>
        <w:rPr>
          <w:rFonts w:ascii="Arial" w:hAnsi="Arial" w:cs="Arial"/>
          <w:sz w:val="20"/>
          <w:szCs w:val="20"/>
        </w:rPr>
      </w:pPr>
    </w:p>
    <w:p w14:paraId="232384B9" w14:textId="77777777" w:rsidR="00FD605A" w:rsidRDefault="00FD605A" w:rsidP="00FD605A">
      <w:pPr>
        <w:jc w:val="both"/>
        <w:rPr>
          <w:rFonts w:ascii="Arial" w:hAnsi="Arial" w:cs="Arial"/>
          <w:sz w:val="20"/>
          <w:szCs w:val="20"/>
        </w:rPr>
      </w:pPr>
      <w:r>
        <w:rPr>
          <w:noProof/>
          <w:lang w:eastAsia="es-MX"/>
        </w:rPr>
        <w:lastRenderedPageBreak/>
        <w:drawing>
          <wp:inline distT="0" distB="0" distL="0" distR="0" wp14:anchorId="0DC9C8B2" wp14:editId="1125103C">
            <wp:extent cx="7267575" cy="48863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65441" cy="4884890"/>
                    </a:xfrm>
                    <a:prstGeom prst="rect">
                      <a:avLst/>
                    </a:prstGeom>
                    <a:noFill/>
                    <a:ln>
                      <a:noFill/>
                    </a:ln>
                  </pic:spPr>
                </pic:pic>
              </a:graphicData>
            </a:graphic>
          </wp:inline>
        </w:drawing>
      </w:r>
    </w:p>
    <w:p w14:paraId="24A77E22" w14:textId="77777777" w:rsidR="00FD605A" w:rsidRDefault="00FD605A" w:rsidP="00FD605A">
      <w:pPr>
        <w:jc w:val="both"/>
        <w:rPr>
          <w:rFonts w:ascii="Arial" w:hAnsi="Arial" w:cs="Arial"/>
          <w:sz w:val="20"/>
          <w:szCs w:val="20"/>
        </w:rPr>
      </w:pPr>
    </w:p>
    <w:p w14:paraId="489E986C" w14:textId="77777777" w:rsidR="00FD605A" w:rsidRDefault="00FD605A" w:rsidP="00FD605A">
      <w:pPr>
        <w:jc w:val="both"/>
        <w:rPr>
          <w:rFonts w:ascii="Arial" w:hAnsi="Arial" w:cs="Arial"/>
          <w:sz w:val="20"/>
          <w:szCs w:val="20"/>
        </w:rPr>
      </w:pPr>
    </w:p>
    <w:p w14:paraId="672B4695" w14:textId="77777777" w:rsidR="00FD605A" w:rsidRDefault="00FD605A" w:rsidP="00FD605A">
      <w:pPr>
        <w:jc w:val="both"/>
        <w:rPr>
          <w:rFonts w:ascii="Arial" w:hAnsi="Arial" w:cs="Arial"/>
          <w:sz w:val="20"/>
          <w:szCs w:val="20"/>
        </w:rPr>
      </w:pPr>
      <w:r>
        <w:rPr>
          <w:noProof/>
          <w:lang w:eastAsia="es-MX"/>
        </w:rPr>
        <w:lastRenderedPageBreak/>
        <w:drawing>
          <wp:inline distT="0" distB="0" distL="0" distR="0" wp14:anchorId="55EC90C8" wp14:editId="4ED2BDB5">
            <wp:extent cx="7588813" cy="4055897"/>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5569" cy="4059508"/>
                    </a:xfrm>
                    <a:prstGeom prst="rect">
                      <a:avLst/>
                    </a:prstGeom>
                    <a:noFill/>
                    <a:ln>
                      <a:noFill/>
                    </a:ln>
                  </pic:spPr>
                </pic:pic>
              </a:graphicData>
            </a:graphic>
          </wp:inline>
        </w:drawing>
      </w:r>
    </w:p>
    <w:p w14:paraId="1204B219" w14:textId="77777777" w:rsidR="00FD605A" w:rsidRDefault="00FD605A" w:rsidP="00FD605A">
      <w:pPr>
        <w:tabs>
          <w:tab w:val="left" w:pos="11707"/>
        </w:tabs>
        <w:jc w:val="both"/>
        <w:rPr>
          <w:rFonts w:ascii="Arial" w:hAnsi="Arial" w:cs="Arial"/>
          <w:sz w:val="20"/>
          <w:szCs w:val="20"/>
        </w:rPr>
      </w:pPr>
    </w:p>
    <w:p w14:paraId="607FA609" w14:textId="3EE552A8" w:rsidR="00FD605A" w:rsidRDefault="00FD605A" w:rsidP="00FD605A">
      <w:pPr>
        <w:jc w:val="center"/>
        <w:rPr>
          <w:rFonts w:ascii="Arial" w:hAnsi="Arial" w:cs="Arial"/>
          <w:b/>
          <w:sz w:val="20"/>
          <w:szCs w:val="20"/>
        </w:rPr>
      </w:pPr>
    </w:p>
    <w:p w14:paraId="26E4D143" w14:textId="77777777" w:rsidR="00FD605A" w:rsidRPr="00C137AC" w:rsidRDefault="00FD605A" w:rsidP="00FD605A">
      <w:pPr>
        <w:jc w:val="center"/>
        <w:rPr>
          <w:rFonts w:ascii="Arial" w:hAnsi="Arial" w:cs="Arial"/>
          <w:b/>
          <w:sz w:val="20"/>
          <w:szCs w:val="20"/>
        </w:rPr>
      </w:pPr>
    </w:p>
    <w:bookmarkStart w:id="1" w:name="_MON_1511344080"/>
    <w:bookmarkEnd w:id="1"/>
    <w:p w14:paraId="2F65D88B" w14:textId="26C363DE" w:rsidR="007D1E76" w:rsidRPr="00FD605A" w:rsidRDefault="00F0421E" w:rsidP="00FD605A">
      <w:pPr>
        <w:rPr>
          <w:rFonts w:ascii="Arial" w:hAnsi="Arial" w:cs="Arial"/>
          <w:sz w:val="20"/>
          <w:szCs w:val="20"/>
        </w:rPr>
      </w:pPr>
      <w:r w:rsidRPr="00D34B4E">
        <w:rPr>
          <w:szCs w:val="18"/>
        </w:rPr>
        <w:object w:dxaOrig="24052" w:dyaOrig="924" w14:anchorId="620CB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75pt;height:26.25pt" o:ole="">
            <v:imagedata r:id="rId16" o:title=""/>
          </v:shape>
          <o:OLEObject Type="Embed" ProgID="Excel.Sheet.12" ShapeID="_x0000_i1025" DrawAspect="Content" ObjectID="_1718709663" r:id="rId17"/>
        </w:object>
      </w:r>
    </w:p>
    <w:sectPr w:rsidR="007D1E76" w:rsidRPr="00FD605A" w:rsidSect="00FD605A">
      <w:headerReference w:type="default" r:id="rId18"/>
      <w:footerReference w:type="default" r:id="rId19"/>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ECC67" w14:textId="77777777" w:rsidR="00204CBF" w:rsidRDefault="00204CBF" w:rsidP="00E00323">
      <w:pPr>
        <w:spacing w:after="0" w:line="240" w:lineRule="auto"/>
      </w:pPr>
      <w:r>
        <w:separator/>
      </w:r>
    </w:p>
  </w:endnote>
  <w:endnote w:type="continuationSeparator" w:id="0">
    <w:p w14:paraId="07E4D185" w14:textId="77777777" w:rsidR="00204CBF" w:rsidRDefault="00204CB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0964683" w:rsidR="0012405A" w:rsidRDefault="00E47557">
        <w:pPr>
          <w:pStyle w:val="Piedepgina"/>
          <w:jc w:val="right"/>
        </w:pPr>
        <w:r>
          <w:rPr>
            <w:noProof/>
            <w:lang w:eastAsia="es-MX"/>
          </w:rPr>
          <mc:AlternateContent>
            <mc:Choice Requires="wps">
              <w:drawing>
                <wp:anchor distT="0" distB="0" distL="114300" distR="114300" simplePos="0" relativeHeight="251660288" behindDoc="0" locked="0" layoutInCell="1" allowOverlap="1" wp14:anchorId="101BD8F3" wp14:editId="04900E54">
                  <wp:simplePos x="0" y="0"/>
                  <wp:positionH relativeFrom="column">
                    <wp:posOffset>146685</wp:posOffset>
                  </wp:positionH>
                  <wp:positionV relativeFrom="paragraph">
                    <wp:posOffset>63500</wp:posOffset>
                  </wp:positionV>
                  <wp:extent cx="8229600" cy="190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8229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65B09C"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55pt,5pt" to="659.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" strokecolor="#5b9bd5 [3204]" strokeweight=".5pt">
                  <v:stroke joinstyle="miter"/>
                </v:line>
              </w:pict>
            </mc:Fallback>
          </mc:AlternateContent>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4C64D" w14:textId="77777777" w:rsidR="00204CBF" w:rsidRDefault="00204CBF" w:rsidP="00E00323">
      <w:pPr>
        <w:spacing w:after="0" w:line="240" w:lineRule="auto"/>
      </w:pPr>
      <w:r>
        <w:separator/>
      </w:r>
    </w:p>
  </w:footnote>
  <w:footnote w:type="continuationSeparator" w:id="0">
    <w:p w14:paraId="417BC124" w14:textId="77777777" w:rsidR="00204CBF" w:rsidRDefault="00204CB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03B6A690" w:rsidR="00154BA3" w:rsidRDefault="00594F2F" w:rsidP="00A4610E">
    <w:pPr>
      <w:pStyle w:val="Encabezado"/>
      <w:spacing w:after="0" w:line="240" w:lineRule="auto"/>
      <w:jc w:val="center"/>
    </w:pPr>
    <w:r>
      <w:t>Universidad Tecnológica del Norte de Guanajuato</w:t>
    </w:r>
  </w:p>
  <w:p w14:paraId="501B7F52" w14:textId="39D49127" w:rsidR="00594F2F" w:rsidRDefault="00E47557" w:rsidP="00EB2E9A">
    <w:pPr>
      <w:pStyle w:val="Encabezado"/>
      <w:spacing w:after="0" w:line="240" w:lineRule="auto"/>
      <w:jc w:val="center"/>
    </w:pPr>
    <w:r>
      <w:rPr>
        <w:noProof/>
        <w:lang w:eastAsia="es-MX"/>
      </w:rPr>
      <mc:AlternateContent>
        <mc:Choice Requires="wps">
          <w:drawing>
            <wp:anchor distT="0" distB="0" distL="114300" distR="114300" simplePos="0" relativeHeight="251659264" behindDoc="0" locked="0" layoutInCell="1" allowOverlap="1" wp14:anchorId="25AF0F4F" wp14:editId="363E302B">
              <wp:simplePos x="0" y="0"/>
              <wp:positionH relativeFrom="margin">
                <wp:align>left</wp:align>
              </wp:positionH>
              <wp:positionV relativeFrom="paragraph">
                <wp:posOffset>150494</wp:posOffset>
              </wp:positionV>
              <wp:extent cx="8696325" cy="2857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86963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49478" id="Conector recto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85pt" to="684.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" strokecolor="#5b9bd5 [3204]" strokeweight=".5pt">
              <v:stroke joinstyle="miter"/>
              <w10:wrap anchorx="margin"/>
            </v:line>
          </w:pict>
        </mc:Fallback>
      </mc:AlternateContent>
    </w:r>
    <w:r w:rsidR="003258D2">
      <w:t xml:space="preserve">CORRESPONDIENTES AL </w:t>
    </w:r>
    <w:r w:rsidR="0017353C">
      <w:t>SEGUNDO</w:t>
    </w:r>
    <w:r>
      <w:t xml:space="preserve"> TRIMESTRE</w:t>
    </w:r>
    <w:r w:rsidR="00594F2F">
      <w:t xml:space="preserve"> DE 20</w:t>
    </w:r>
    <w:r w:rsidR="00CF00A4">
      <w:t>2</w:t>
    </w:r>
    <w:r w:rsidR="009C0E1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25DAA"/>
    <w:rsid w:val="0003730D"/>
    <w:rsid w:val="00040D4F"/>
    <w:rsid w:val="00084EAE"/>
    <w:rsid w:val="00091CE6"/>
    <w:rsid w:val="000A197D"/>
    <w:rsid w:val="000B7810"/>
    <w:rsid w:val="000C3365"/>
    <w:rsid w:val="001155EE"/>
    <w:rsid w:val="00122812"/>
    <w:rsid w:val="0012405A"/>
    <w:rsid w:val="0012431A"/>
    <w:rsid w:val="00143ABA"/>
    <w:rsid w:val="001527A9"/>
    <w:rsid w:val="00154BA3"/>
    <w:rsid w:val="0017353C"/>
    <w:rsid w:val="0018637B"/>
    <w:rsid w:val="001973A2"/>
    <w:rsid w:val="001C75F2"/>
    <w:rsid w:val="001D2063"/>
    <w:rsid w:val="001D43E9"/>
    <w:rsid w:val="001F40A6"/>
    <w:rsid w:val="001F6D16"/>
    <w:rsid w:val="00204CBF"/>
    <w:rsid w:val="00240351"/>
    <w:rsid w:val="00270710"/>
    <w:rsid w:val="00295BAD"/>
    <w:rsid w:val="003258D2"/>
    <w:rsid w:val="003453CA"/>
    <w:rsid w:val="003459B8"/>
    <w:rsid w:val="00356227"/>
    <w:rsid w:val="003D6594"/>
    <w:rsid w:val="00417339"/>
    <w:rsid w:val="00435A87"/>
    <w:rsid w:val="00467432"/>
    <w:rsid w:val="004A00D6"/>
    <w:rsid w:val="004A58C8"/>
    <w:rsid w:val="004D7A28"/>
    <w:rsid w:val="004F234D"/>
    <w:rsid w:val="004F76A3"/>
    <w:rsid w:val="0050398A"/>
    <w:rsid w:val="005043B1"/>
    <w:rsid w:val="00522FFD"/>
    <w:rsid w:val="00523911"/>
    <w:rsid w:val="0054701E"/>
    <w:rsid w:val="00594F2F"/>
    <w:rsid w:val="005B5531"/>
    <w:rsid w:val="005D3E43"/>
    <w:rsid w:val="005E231E"/>
    <w:rsid w:val="00657009"/>
    <w:rsid w:val="006757ED"/>
    <w:rsid w:val="00681C79"/>
    <w:rsid w:val="007114B4"/>
    <w:rsid w:val="007610BC"/>
    <w:rsid w:val="0076279F"/>
    <w:rsid w:val="007714AB"/>
    <w:rsid w:val="00786D63"/>
    <w:rsid w:val="007B4CFD"/>
    <w:rsid w:val="007D1E76"/>
    <w:rsid w:val="007D4484"/>
    <w:rsid w:val="007D4D5B"/>
    <w:rsid w:val="007D654A"/>
    <w:rsid w:val="008210C0"/>
    <w:rsid w:val="0086459F"/>
    <w:rsid w:val="00883637"/>
    <w:rsid w:val="008C3BB8"/>
    <w:rsid w:val="008C7891"/>
    <w:rsid w:val="008E076C"/>
    <w:rsid w:val="008F3114"/>
    <w:rsid w:val="0090204D"/>
    <w:rsid w:val="00912CB6"/>
    <w:rsid w:val="0092765C"/>
    <w:rsid w:val="0095167B"/>
    <w:rsid w:val="009562EB"/>
    <w:rsid w:val="00992E9D"/>
    <w:rsid w:val="00996747"/>
    <w:rsid w:val="009B1389"/>
    <w:rsid w:val="009C0E10"/>
    <w:rsid w:val="009F13A6"/>
    <w:rsid w:val="00A43522"/>
    <w:rsid w:val="00A4610E"/>
    <w:rsid w:val="00A720CF"/>
    <w:rsid w:val="00A730E0"/>
    <w:rsid w:val="00A94970"/>
    <w:rsid w:val="00AA41E5"/>
    <w:rsid w:val="00AB722B"/>
    <w:rsid w:val="00AC1DC9"/>
    <w:rsid w:val="00AC6275"/>
    <w:rsid w:val="00AE1BD2"/>
    <w:rsid w:val="00AE1F6A"/>
    <w:rsid w:val="00B20273"/>
    <w:rsid w:val="00B208F2"/>
    <w:rsid w:val="00B3400D"/>
    <w:rsid w:val="00B35A63"/>
    <w:rsid w:val="00BA7908"/>
    <w:rsid w:val="00BC18B5"/>
    <w:rsid w:val="00BE6B66"/>
    <w:rsid w:val="00C017C4"/>
    <w:rsid w:val="00C272F6"/>
    <w:rsid w:val="00C61402"/>
    <w:rsid w:val="00C61CD1"/>
    <w:rsid w:val="00C9362F"/>
    <w:rsid w:val="00C97E1E"/>
    <w:rsid w:val="00CB41C4"/>
    <w:rsid w:val="00CF00A4"/>
    <w:rsid w:val="00CF1316"/>
    <w:rsid w:val="00D13C44"/>
    <w:rsid w:val="00D16088"/>
    <w:rsid w:val="00D34B04"/>
    <w:rsid w:val="00D44F41"/>
    <w:rsid w:val="00D975B1"/>
    <w:rsid w:val="00DB3F32"/>
    <w:rsid w:val="00DC3A1F"/>
    <w:rsid w:val="00DD704B"/>
    <w:rsid w:val="00E00323"/>
    <w:rsid w:val="00E004A3"/>
    <w:rsid w:val="00E47557"/>
    <w:rsid w:val="00E74967"/>
    <w:rsid w:val="00E7559F"/>
    <w:rsid w:val="00EA37F5"/>
    <w:rsid w:val="00EA5F31"/>
    <w:rsid w:val="00EA7915"/>
    <w:rsid w:val="00EB2E9A"/>
    <w:rsid w:val="00F0421E"/>
    <w:rsid w:val="00F14FBE"/>
    <w:rsid w:val="00F24908"/>
    <w:rsid w:val="00F31BD3"/>
    <w:rsid w:val="00F46719"/>
    <w:rsid w:val="00F54F6F"/>
    <w:rsid w:val="00F65A92"/>
    <w:rsid w:val="00F81314"/>
    <w:rsid w:val="00F95BC1"/>
    <w:rsid w:val="00FD605A"/>
    <w:rsid w:val="00FE731F"/>
    <w:rsid w:val="00FE73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PrrafodelistaCar">
    <w:name w:val="Párrafo de lista Car"/>
    <w:basedOn w:val="Fuentedeprrafopredeter"/>
    <w:link w:val="Prrafodelista"/>
    <w:uiPriority w:val="34"/>
    <w:locked/>
    <w:rsid w:val="00FD605A"/>
    <w:rPr>
      <w:sz w:val="22"/>
      <w:szCs w:val="22"/>
      <w:lang w:eastAsia="en-US"/>
    </w:rPr>
  </w:style>
  <w:style w:type="paragraph" w:customStyle="1" w:styleId="NormalArial">
    <w:name w:val="Normal + Arial"/>
    <w:basedOn w:val="Normal"/>
    <w:rsid w:val="00FD605A"/>
    <w:pPr>
      <w:spacing w:after="0" w:line="240" w:lineRule="auto"/>
    </w:pPr>
    <w:rPr>
      <w:rFonts w:ascii="Arial" w:eastAsia="Times New Roman" w:hAnsi="Arial" w:cs="Arial"/>
      <w:b/>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2E3CB5-B852-401A-9967-89DF9D57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3532</Words>
  <Characters>19432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22919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Windows User</cp:lastModifiedBy>
  <cp:revision>2</cp:revision>
  <cp:lastPrinted>2021-10-07T19:26:00Z</cp:lastPrinted>
  <dcterms:created xsi:type="dcterms:W3CDTF">2022-07-07T19:35:00Z</dcterms:created>
  <dcterms:modified xsi:type="dcterms:W3CDTF">2022-07-07T19:35:00Z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