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AC" w:rsidRDefault="00C137AC" w:rsidP="00C137AC">
      <w:pPr>
        <w:pStyle w:val="Texto"/>
        <w:spacing w:after="0" w:line="240" w:lineRule="exact"/>
        <w:ind w:firstLine="0"/>
        <w:jc w:val="center"/>
        <w:rPr>
          <w:b/>
          <w:sz w:val="20"/>
          <w:lang w:val="es-MX"/>
        </w:rPr>
      </w:pPr>
      <w:bookmarkStart w:id="0" w:name="_GoBack"/>
      <w:bookmarkEnd w:id="0"/>
      <w:r w:rsidRPr="00C137AC">
        <w:rPr>
          <w:b/>
          <w:sz w:val="20"/>
          <w:lang w:val="es-MX"/>
        </w:rPr>
        <w:t>c) NOTAS DE GESTIÓN ADMINISTRATIVA</w:t>
      </w:r>
    </w:p>
    <w:p w:rsidR="00BF767B" w:rsidRPr="00C137AC" w:rsidRDefault="00BF767B" w:rsidP="00C137AC">
      <w:pPr>
        <w:pStyle w:val="Texto"/>
        <w:spacing w:after="0" w:line="240" w:lineRule="exact"/>
        <w:ind w:firstLine="0"/>
        <w:jc w:val="center"/>
        <w:rPr>
          <w:b/>
          <w:sz w:val="20"/>
          <w:lang w:val="es-MX"/>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217E0D" w:rsidRPr="00E62429" w:rsidRDefault="006C03D8" w:rsidP="00217E0D">
      <w:pPr>
        <w:spacing w:after="100" w:afterAutospacing="1"/>
        <w:jc w:val="both"/>
        <w:rPr>
          <w:rFonts w:ascii="Arial" w:hAnsi="Arial" w:cs="Arial"/>
          <w:sz w:val="20"/>
          <w:szCs w:val="20"/>
        </w:rPr>
      </w:pPr>
      <w:r>
        <w:rPr>
          <w:rFonts w:ascii="Arial" w:hAnsi="Arial" w:cs="Arial"/>
          <w:sz w:val="20"/>
          <w:szCs w:val="20"/>
        </w:rPr>
        <w:t>A veinticuatro</w:t>
      </w:r>
      <w:r w:rsidR="00217E0D"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Fecha de creación del ente.</w:t>
      </w:r>
    </w:p>
    <w:p w:rsidR="00217E0D" w:rsidRPr="00E62429" w:rsidRDefault="00217E0D" w:rsidP="00217E0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217E0D" w:rsidRPr="00E62429" w:rsidRDefault="00217E0D" w:rsidP="00217E0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rsidR="00217E0D" w:rsidRPr="00E62429" w:rsidRDefault="00217E0D" w:rsidP="00217E0D">
      <w:pPr>
        <w:pStyle w:val="NormalArial"/>
        <w:spacing w:after="100" w:afterAutospacing="1"/>
        <w:jc w:val="both"/>
        <w:rPr>
          <w:b w:val="0"/>
          <w:snapToGrid w:val="0"/>
          <w:sz w:val="20"/>
          <w:szCs w:val="20"/>
        </w:rPr>
      </w:pPr>
      <w:r w:rsidRPr="00E62429">
        <w:rPr>
          <w:b w:val="0"/>
          <w:snapToGrid w:val="0"/>
          <w:sz w:val="20"/>
          <w:szCs w:val="20"/>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217E0D" w:rsidRPr="00E62429" w:rsidRDefault="00217E0D" w:rsidP="00217E0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217E0D" w:rsidRPr="00E62429" w:rsidRDefault="00217E0D"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sidR="009E00EA">
        <w:rPr>
          <w:rFonts w:ascii="Arial" w:hAnsi="Arial" w:cs="Arial"/>
          <w:b/>
          <w:sz w:val="20"/>
          <w:szCs w:val="20"/>
        </w:rPr>
        <w:t>Anexo I</w:t>
      </w:r>
      <w:r w:rsidRPr="00E62429">
        <w:rPr>
          <w:rFonts w:ascii="Arial" w:hAnsi="Arial" w:cs="Arial"/>
          <w:sz w:val="20"/>
          <w:szCs w:val="20"/>
        </w:rPr>
        <w:t xml:space="preserve"> de las notas de gestión administrativa.</w:t>
      </w:r>
    </w:p>
    <w:p w:rsidR="00217E0D" w:rsidRPr="00E62429" w:rsidRDefault="00217E0D" w:rsidP="00217E0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lastRenderedPageBreak/>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rsidR="009B22E0" w:rsidRDefault="009B22E0"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Principal actividad</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sidR="00215EC7">
        <w:rPr>
          <w:rFonts w:ascii="Arial" w:hAnsi="Arial" w:cs="Arial"/>
          <w:sz w:val="20"/>
          <w:szCs w:val="20"/>
        </w:rPr>
        <w:t>e está en el periodo fiscal 201</w:t>
      </w:r>
      <w:r w:rsidR="00C01057">
        <w:rPr>
          <w:rFonts w:ascii="Arial" w:hAnsi="Arial" w:cs="Arial"/>
          <w:sz w:val="20"/>
          <w:szCs w:val="20"/>
        </w:rPr>
        <w:t>8</w:t>
      </w:r>
      <w:r w:rsidRPr="00E62429">
        <w:rPr>
          <w:rFonts w:ascii="Arial" w:hAnsi="Arial" w:cs="Arial"/>
          <w:sz w:val="20"/>
          <w:szCs w:val="20"/>
        </w:rPr>
        <w:t>.</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Régimen jurídico (Fiscal).</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rsidR="00217E0D" w:rsidRPr="00E62429" w:rsidRDefault="00217E0D" w:rsidP="00217E0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sidR="0097703C">
        <w:rPr>
          <w:rFonts w:ascii="Arial" w:hAnsi="Arial" w:cs="Arial"/>
          <w:b/>
          <w:sz w:val="20"/>
          <w:szCs w:val="20"/>
        </w:rPr>
        <w:t xml:space="preserve">Anexo I </w:t>
      </w:r>
      <w:r w:rsidRPr="00E62429">
        <w:rPr>
          <w:rFonts w:ascii="Arial" w:hAnsi="Arial" w:cs="Arial"/>
          <w:sz w:val="20"/>
          <w:szCs w:val="20"/>
        </w:rPr>
        <w:t>del documento Notas de Gestión Administrativa.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g) Fideicomisos, mandatos y análogos de los cuales es fideicomitente o fiduciario.</w:t>
      </w:r>
    </w:p>
    <w:p w:rsidR="00217E0D"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sobre: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 Postulados básico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17E0D" w:rsidRPr="00E62429" w:rsidRDefault="009E00EA" w:rsidP="00217E0D">
      <w:pPr>
        <w:spacing w:after="100" w:afterAutospacing="1"/>
        <w:jc w:val="both"/>
        <w:rPr>
          <w:rFonts w:ascii="Arial" w:hAnsi="Arial" w:cs="Arial"/>
          <w:sz w:val="20"/>
          <w:szCs w:val="20"/>
        </w:rPr>
      </w:pPr>
      <w:r>
        <w:rPr>
          <w:rFonts w:ascii="Arial" w:hAnsi="Arial" w:cs="Arial"/>
          <w:sz w:val="20"/>
          <w:szCs w:val="20"/>
        </w:rPr>
        <w:t>No</w:t>
      </w:r>
      <w:r w:rsidR="00217E0D" w:rsidRPr="00E62429">
        <w:rPr>
          <w:rFonts w:ascii="Arial" w:hAnsi="Arial" w:cs="Arial"/>
          <w:sz w:val="20"/>
          <w:szCs w:val="20"/>
        </w:rPr>
        <w:t xml:space="preserve"> se aplica normatividad supletoria diferente a lo que nos marca Contabilidad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 Para las entidades que por primera vez estén implementando la base devengado de acuerdo a la Ley de Contabilidad, deberán:</w:t>
      </w:r>
    </w:p>
    <w:p w:rsidR="00217E0D" w:rsidRPr="00C65A8E" w:rsidRDefault="00217E0D" w:rsidP="00217E0D">
      <w:pPr>
        <w:pStyle w:val="Prrafodelista"/>
        <w:numPr>
          <w:ilvl w:val="0"/>
          <w:numId w:val="17"/>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rsidR="00217E0D" w:rsidRPr="00C65A8E" w:rsidRDefault="00217E0D" w:rsidP="00217E0D">
      <w:pPr>
        <w:pStyle w:val="Prrafodelista"/>
        <w:numPr>
          <w:ilvl w:val="0"/>
          <w:numId w:val="18"/>
        </w:numPr>
        <w:spacing w:after="100" w:afterAutospacing="1" w:line="360" w:lineRule="auto"/>
        <w:jc w:val="both"/>
        <w:rPr>
          <w:rFonts w:ascii="Arial" w:hAnsi="Arial" w:cs="Arial"/>
          <w:sz w:val="20"/>
          <w:szCs w:val="20"/>
        </w:rPr>
      </w:pPr>
      <w:r w:rsidRPr="00C65A8E">
        <w:rPr>
          <w:rFonts w:ascii="Cambria Math" w:hAnsi="Cambria Math" w:cs="Cambria Math"/>
          <w:sz w:val="20"/>
          <w:szCs w:val="20"/>
        </w:rPr>
        <w:lastRenderedPageBreak/>
        <w:t>‐</w:t>
      </w:r>
      <w:r w:rsidRPr="00C65A8E">
        <w:rPr>
          <w:rFonts w:ascii="Arial" w:hAnsi="Arial" w:cs="Arial"/>
          <w:sz w:val="20"/>
          <w:szCs w:val="20"/>
        </w:rPr>
        <w:t>Plan de implementación:</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rsidR="00217E0D" w:rsidRPr="00C65A8E" w:rsidRDefault="00217E0D" w:rsidP="00217E0D">
      <w:pPr>
        <w:pStyle w:val="Prrafodelista"/>
        <w:numPr>
          <w:ilvl w:val="0"/>
          <w:numId w:val="19"/>
        </w:numPr>
        <w:spacing w:after="100" w:afterAutospacing="1"/>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Subsecretaría  de Educación Superior, Coordinación de Universidades Tecnológicas y Politécnicas  adscritas a la Secretaría de Educación Pública, así como a las autorizaciones emitidas por el H. Consejo Directivo de la institución.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f) Provisiones: </w:t>
      </w:r>
    </w:p>
    <w:p w:rsidR="00917B4F" w:rsidRDefault="00217E0D" w:rsidP="00217E0D">
      <w:pPr>
        <w:spacing w:after="100" w:afterAutospacing="1"/>
        <w:jc w:val="both"/>
        <w:rPr>
          <w:rFonts w:ascii="Arial" w:hAnsi="Arial" w:cs="Arial"/>
          <w:sz w:val="20"/>
          <w:szCs w:val="20"/>
        </w:rPr>
      </w:pPr>
      <w:r>
        <w:rPr>
          <w:rFonts w:ascii="Arial" w:hAnsi="Arial" w:cs="Arial"/>
          <w:sz w:val="20"/>
          <w:szCs w:val="20"/>
        </w:rPr>
        <w:lastRenderedPageBreak/>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sidR="009B22E0">
        <w:rPr>
          <w:rFonts w:ascii="Arial" w:hAnsi="Arial" w:cs="Arial"/>
          <w:sz w:val="20"/>
          <w:szCs w:val="20"/>
        </w:rPr>
        <w:t xml:space="preserve"> al </w:t>
      </w:r>
      <w:r w:rsidR="00B91044">
        <w:rPr>
          <w:rFonts w:ascii="Arial" w:hAnsi="Arial" w:cs="Arial"/>
          <w:sz w:val="20"/>
          <w:szCs w:val="20"/>
        </w:rPr>
        <w:t>3</w:t>
      </w:r>
      <w:r w:rsidR="007A16A9">
        <w:rPr>
          <w:rFonts w:ascii="Arial" w:hAnsi="Arial" w:cs="Arial"/>
          <w:sz w:val="20"/>
          <w:szCs w:val="20"/>
        </w:rPr>
        <w:t>1</w:t>
      </w:r>
      <w:r w:rsidR="004274AA">
        <w:rPr>
          <w:rFonts w:ascii="Arial" w:hAnsi="Arial" w:cs="Arial"/>
          <w:sz w:val="20"/>
          <w:szCs w:val="20"/>
        </w:rPr>
        <w:t xml:space="preserve"> de </w:t>
      </w:r>
      <w:r w:rsidR="007A16A9">
        <w:rPr>
          <w:rFonts w:ascii="Arial" w:hAnsi="Arial" w:cs="Arial"/>
          <w:sz w:val="20"/>
          <w:szCs w:val="20"/>
        </w:rPr>
        <w:t>dic</w:t>
      </w:r>
      <w:r w:rsidR="00D74CF0">
        <w:rPr>
          <w:rFonts w:ascii="Arial" w:hAnsi="Arial" w:cs="Arial"/>
          <w:sz w:val="20"/>
          <w:szCs w:val="20"/>
        </w:rPr>
        <w:t>iembre</w:t>
      </w:r>
      <w:r>
        <w:rPr>
          <w:rFonts w:ascii="Arial" w:hAnsi="Arial" w:cs="Arial"/>
          <w:sz w:val="20"/>
          <w:szCs w:val="20"/>
        </w:rPr>
        <w:t xml:space="preserve"> </w:t>
      </w:r>
      <w:r w:rsidR="00917B4F">
        <w:rPr>
          <w:rFonts w:ascii="Arial" w:hAnsi="Arial" w:cs="Arial"/>
          <w:sz w:val="20"/>
          <w:szCs w:val="20"/>
        </w:rPr>
        <w:t>se canceló.</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 </w:t>
      </w:r>
      <w:r w:rsidR="00A40873">
        <w:rPr>
          <w:rFonts w:ascii="Arial" w:hAnsi="Arial" w:cs="Arial"/>
          <w:sz w:val="20"/>
          <w:szCs w:val="20"/>
        </w:rPr>
        <w:t>4,263</w:t>
      </w:r>
      <w:r w:rsidR="00D74CF0">
        <w:rPr>
          <w:rFonts w:ascii="Arial" w:hAnsi="Arial" w:cs="Arial"/>
          <w:sz w:val="20"/>
          <w:szCs w:val="20"/>
        </w:rPr>
        <w:t>,</w:t>
      </w:r>
      <w:r w:rsidR="00A40873">
        <w:rPr>
          <w:rFonts w:ascii="Arial" w:hAnsi="Arial" w:cs="Arial"/>
          <w:sz w:val="20"/>
          <w:szCs w:val="20"/>
        </w:rPr>
        <w:t>82</w:t>
      </w:r>
      <w:r w:rsidR="00D74CF0">
        <w:rPr>
          <w:rFonts w:ascii="Arial" w:hAnsi="Arial" w:cs="Arial"/>
          <w:sz w:val="20"/>
          <w:szCs w:val="20"/>
        </w:rPr>
        <w:t>7.</w:t>
      </w:r>
      <w:r w:rsidR="00A40873">
        <w:rPr>
          <w:rFonts w:ascii="Arial" w:hAnsi="Arial" w:cs="Arial"/>
          <w:sz w:val="20"/>
          <w:szCs w:val="20"/>
        </w:rPr>
        <w:t>52</w:t>
      </w:r>
      <w:r w:rsidRPr="00E62429">
        <w:rPr>
          <w:rFonts w:ascii="Arial" w:hAnsi="Arial" w:cs="Arial"/>
          <w:sz w:val="20"/>
          <w:szCs w:val="20"/>
        </w:rPr>
        <w:t xml:space="preserve"> y su plazo es indefinido o hasta agotar su saldo.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Cuando es necesario por cuestiones de costo beneficio la </w:t>
      </w:r>
      <w:r w:rsidR="000D373E" w:rsidRPr="00E62429">
        <w:rPr>
          <w:rFonts w:ascii="Arial" w:hAnsi="Arial" w:cs="Arial"/>
          <w:sz w:val="20"/>
          <w:szCs w:val="20"/>
        </w:rPr>
        <w:t>Universidad ha</w:t>
      </w:r>
      <w:r w:rsidRPr="00E62429">
        <w:rPr>
          <w:rFonts w:ascii="Arial" w:hAnsi="Arial" w:cs="Arial"/>
          <w:sz w:val="20"/>
          <w:szCs w:val="20"/>
        </w:rPr>
        <w:t xml:space="preserve"> depurado algunas cuentas, siempre y cuando el saldo no sea significativo por lo regular menor </w:t>
      </w:r>
      <w:r w:rsidR="000D373E">
        <w:rPr>
          <w:rFonts w:ascii="Arial" w:hAnsi="Arial" w:cs="Arial"/>
          <w:sz w:val="20"/>
          <w:szCs w:val="20"/>
        </w:rPr>
        <w:t xml:space="preserve">a $ 1,000.00 y una vez agotado </w:t>
      </w:r>
      <w:r w:rsidRPr="00E62429">
        <w:rPr>
          <w:rFonts w:ascii="Arial" w:hAnsi="Arial" w:cs="Arial"/>
          <w:sz w:val="20"/>
          <w:szCs w:val="20"/>
        </w:rPr>
        <w:t>los procesos internos.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lastRenderedPageBreak/>
        <w:t>d) Tipo de cambio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Capitalización ing</w:t>
      </w:r>
      <w:r w:rsidR="00E54CE8">
        <w:rPr>
          <w:rFonts w:ascii="Arial" w:hAnsi="Arial" w:cs="Arial"/>
          <w:sz w:val="20"/>
          <w:szCs w:val="20"/>
        </w:rPr>
        <w:t xml:space="preserve">resos propios              </w:t>
      </w:r>
      <w:r w:rsidR="001F2043">
        <w:rPr>
          <w:rFonts w:ascii="Arial" w:hAnsi="Arial" w:cs="Arial"/>
          <w:sz w:val="20"/>
          <w:szCs w:val="20"/>
        </w:rPr>
        <w:t xml:space="preserve"> </w:t>
      </w:r>
      <w:r w:rsidR="00F97211">
        <w:rPr>
          <w:rFonts w:ascii="Arial" w:hAnsi="Arial" w:cs="Arial"/>
          <w:sz w:val="20"/>
          <w:szCs w:val="20"/>
        </w:rPr>
        <w:t xml:space="preserve">  108,241.45</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Capitalización remanentes federales    </w:t>
      </w:r>
      <w:r w:rsidR="009C2D8F">
        <w:rPr>
          <w:rFonts w:ascii="Arial" w:hAnsi="Arial" w:cs="Arial"/>
          <w:sz w:val="20"/>
          <w:szCs w:val="20"/>
        </w:rPr>
        <w:t xml:space="preserve">    </w:t>
      </w:r>
      <w:r w:rsidR="0006568B">
        <w:rPr>
          <w:rFonts w:ascii="Arial" w:hAnsi="Arial" w:cs="Arial"/>
          <w:sz w:val="20"/>
          <w:szCs w:val="20"/>
        </w:rPr>
        <w:t xml:space="preserve">           </w:t>
      </w:r>
      <w:r w:rsidR="009C2D8F">
        <w:rPr>
          <w:rFonts w:ascii="Arial" w:hAnsi="Arial" w:cs="Arial"/>
          <w:sz w:val="20"/>
          <w:szCs w:val="20"/>
        </w:rPr>
        <w:t xml:space="preserve"> </w:t>
      </w:r>
      <w:r w:rsidR="0006568B">
        <w:rPr>
          <w:rFonts w:ascii="Arial" w:hAnsi="Arial" w:cs="Arial"/>
          <w:sz w:val="20"/>
          <w:szCs w:val="20"/>
        </w:rPr>
        <w:t>0.00</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rsidR="00217E0D" w:rsidRPr="00935718" w:rsidRDefault="00217E0D" w:rsidP="00217E0D">
      <w:pPr>
        <w:spacing w:after="100" w:afterAutospacing="1"/>
        <w:jc w:val="both"/>
        <w:rPr>
          <w:rFonts w:ascii="Arial" w:hAnsi="Arial" w:cs="Arial"/>
          <w:sz w:val="20"/>
          <w:szCs w:val="20"/>
        </w:rPr>
      </w:pPr>
      <w:r w:rsidRPr="00682F2F">
        <w:rPr>
          <w:rFonts w:ascii="Arial" w:hAnsi="Arial" w:cs="Arial"/>
          <w:sz w:val="20"/>
          <w:szCs w:val="20"/>
        </w:rPr>
        <w:lastRenderedPageBreak/>
        <w:t>Construcción del Gimnasio Auditorio (</w:t>
      </w:r>
      <w:r w:rsidR="00682F2F" w:rsidRPr="00682F2F">
        <w:rPr>
          <w:rFonts w:ascii="Arial" w:hAnsi="Arial" w:cs="Arial"/>
          <w:sz w:val="20"/>
          <w:szCs w:val="20"/>
        </w:rPr>
        <w:t>Tercera Etapa</w:t>
      </w:r>
      <w:r w:rsidR="00682F2F">
        <w:rPr>
          <w:rFonts w:ascii="Arial" w:hAnsi="Arial" w:cs="Arial"/>
          <w:sz w:val="20"/>
          <w:szCs w:val="20"/>
        </w:rPr>
        <w:t xml:space="preserve"> y obra exterior</w:t>
      </w:r>
      <w:r w:rsidR="00C5564A">
        <w:rPr>
          <w:rFonts w:ascii="Arial" w:hAnsi="Arial" w:cs="Arial"/>
          <w:sz w:val="20"/>
          <w:szCs w:val="20"/>
        </w:rPr>
        <w:t xml:space="preserve">)   </w:t>
      </w:r>
      <w:r w:rsidRPr="00682F2F">
        <w:rPr>
          <w:rFonts w:ascii="Arial" w:hAnsi="Arial" w:cs="Arial"/>
          <w:sz w:val="20"/>
          <w:szCs w:val="20"/>
        </w:rPr>
        <w:t xml:space="preserve"> </w:t>
      </w:r>
      <w:r w:rsidR="005D4B14">
        <w:rPr>
          <w:rFonts w:ascii="Arial" w:hAnsi="Arial" w:cs="Arial"/>
          <w:sz w:val="20"/>
          <w:szCs w:val="20"/>
        </w:rPr>
        <w:t>0.00</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a) Inversiones en valores: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DA49F6" w:rsidRPr="00E62429" w:rsidRDefault="00DA49F6" w:rsidP="00217E0D">
      <w:pPr>
        <w:spacing w:after="100" w:afterAutospacing="1"/>
        <w:jc w:val="both"/>
        <w:rPr>
          <w:rFonts w:ascii="Arial" w:hAnsi="Arial" w:cs="Arial"/>
          <w:sz w:val="20"/>
          <w:szCs w:val="20"/>
        </w:rPr>
      </w:pP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lastRenderedPageBreak/>
        <w:t>d) Inversiones en empresas de participación minoritaria: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217E0D" w:rsidRPr="00E62429" w:rsidTr="0052048A">
        <w:tc>
          <w:tcPr>
            <w:tcW w:w="2992" w:type="dxa"/>
            <w:shd w:val="clear" w:color="auto" w:fill="auto"/>
          </w:tcPr>
          <w:p w:rsidR="00217E0D" w:rsidRPr="00E62429" w:rsidRDefault="00217E0D" w:rsidP="0052048A">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shd w:val="clear" w:color="auto" w:fill="auto"/>
          </w:tcPr>
          <w:p w:rsidR="00217E0D" w:rsidRPr="00E62429" w:rsidRDefault="00AC420D" w:rsidP="00851947">
            <w:pPr>
              <w:spacing w:after="100" w:afterAutospacing="1"/>
              <w:jc w:val="center"/>
              <w:rPr>
                <w:rFonts w:ascii="Arial" w:hAnsi="Arial" w:cs="Arial"/>
                <w:b/>
                <w:sz w:val="20"/>
                <w:szCs w:val="20"/>
              </w:rPr>
            </w:pPr>
            <w:r>
              <w:rPr>
                <w:rFonts w:ascii="Arial" w:hAnsi="Arial" w:cs="Arial"/>
                <w:b/>
                <w:sz w:val="20"/>
                <w:szCs w:val="20"/>
              </w:rPr>
              <w:t>SALDO AL 31 DICIEMBRE 201</w:t>
            </w:r>
            <w:r w:rsidR="007F0D34">
              <w:rPr>
                <w:rFonts w:ascii="Arial" w:hAnsi="Arial" w:cs="Arial"/>
                <w:b/>
                <w:sz w:val="20"/>
                <w:szCs w:val="20"/>
              </w:rPr>
              <w:t>7</w:t>
            </w:r>
          </w:p>
        </w:tc>
        <w:tc>
          <w:tcPr>
            <w:tcW w:w="2993" w:type="dxa"/>
            <w:shd w:val="clear" w:color="auto" w:fill="auto"/>
          </w:tcPr>
          <w:p w:rsidR="00217E0D" w:rsidRPr="00E62429" w:rsidRDefault="000B7C88" w:rsidP="00D2641B">
            <w:pPr>
              <w:spacing w:after="100" w:afterAutospacing="1"/>
              <w:jc w:val="center"/>
              <w:rPr>
                <w:rFonts w:ascii="Arial" w:hAnsi="Arial" w:cs="Arial"/>
                <w:b/>
                <w:sz w:val="20"/>
                <w:szCs w:val="20"/>
              </w:rPr>
            </w:pPr>
            <w:r>
              <w:rPr>
                <w:rFonts w:ascii="Arial" w:hAnsi="Arial" w:cs="Arial"/>
                <w:b/>
                <w:sz w:val="20"/>
                <w:szCs w:val="20"/>
              </w:rPr>
              <w:t xml:space="preserve">SALDO AL </w:t>
            </w:r>
            <w:r w:rsidR="00D2641B">
              <w:rPr>
                <w:rFonts w:ascii="Arial" w:hAnsi="Arial" w:cs="Arial"/>
                <w:b/>
                <w:sz w:val="20"/>
                <w:szCs w:val="20"/>
              </w:rPr>
              <w:t>31</w:t>
            </w:r>
            <w:r w:rsidR="00217E0D" w:rsidRPr="00E62429">
              <w:rPr>
                <w:rFonts w:ascii="Arial" w:hAnsi="Arial" w:cs="Arial"/>
                <w:b/>
                <w:sz w:val="20"/>
                <w:szCs w:val="20"/>
              </w:rPr>
              <w:t xml:space="preserve"> DE </w:t>
            </w:r>
            <w:r w:rsidR="00D2641B">
              <w:rPr>
                <w:rFonts w:ascii="Arial" w:hAnsi="Arial" w:cs="Arial"/>
                <w:b/>
                <w:sz w:val="20"/>
                <w:szCs w:val="20"/>
              </w:rPr>
              <w:t>DICIEMBRE</w:t>
            </w:r>
            <w:r w:rsidR="00DA5CB5">
              <w:rPr>
                <w:rFonts w:ascii="Arial" w:hAnsi="Arial" w:cs="Arial"/>
                <w:b/>
                <w:sz w:val="20"/>
                <w:szCs w:val="20"/>
              </w:rPr>
              <w:t xml:space="preserve"> DE 2018</w:t>
            </w:r>
          </w:p>
        </w:tc>
      </w:tr>
      <w:tr w:rsidR="001C377B" w:rsidRPr="00E62429" w:rsidTr="0052048A">
        <w:tc>
          <w:tcPr>
            <w:tcW w:w="2992" w:type="dxa"/>
            <w:shd w:val="clear" w:color="auto" w:fill="auto"/>
          </w:tcPr>
          <w:p w:rsidR="001C377B" w:rsidRPr="00E62429" w:rsidRDefault="001C377B" w:rsidP="001C377B">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shd w:val="clear" w:color="auto" w:fill="auto"/>
          </w:tcPr>
          <w:p w:rsidR="001C377B" w:rsidRPr="00E62429" w:rsidRDefault="001C377B" w:rsidP="001C377B">
            <w:pPr>
              <w:spacing w:after="100" w:afterAutospacing="1"/>
              <w:jc w:val="right"/>
              <w:rPr>
                <w:rFonts w:ascii="Arial" w:hAnsi="Arial" w:cs="Arial"/>
                <w:sz w:val="20"/>
                <w:szCs w:val="20"/>
              </w:rPr>
            </w:pPr>
            <w:r>
              <w:rPr>
                <w:rFonts w:ascii="Arial" w:hAnsi="Arial" w:cs="Arial"/>
                <w:sz w:val="20"/>
                <w:szCs w:val="20"/>
              </w:rPr>
              <w:t>92</w:t>
            </w:r>
            <w:r w:rsidRPr="00E62429">
              <w:rPr>
                <w:rFonts w:ascii="Arial" w:hAnsi="Arial" w:cs="Arial"/>
                <w:sz w:val="20"/>
                <w:szCs w:val="20"/>
              </w:rPr>
              <w:t>’</w:t>
            </w:r>
            <w:r>
              <w:rPr>
                <w:rFonts w:ascii="Arial" w:hAnsi="Arial" w:cs="Arial"/>
                <w:sz w:val="20"/>
                <w:szCs w:val="20"/>
              </w:rPr>
              <w:t>441</w:t>
            </w:r>
            <w:r w:rsidRPr="00E62429">
              <w:rPr>
                <w:rFonts w:ascii="Arial" w:hAnsi="Arial" w:cs="Arial"/>
                <w:sz w:val="20"/>
                <w:szCs w:val="20"/>
              </w:rPr>
              <w:t>,</w:t>
            </w:r>
            <w:r>
              <w:rPr>
                <w:rFonts w:ascii="Arial" w:hAnsi="Arial" w:cs="Arial"/>
                <w:sz w:val="20"/>
                <w:szCs w:val="20"/>
              </w:rPr>
              <w:t>377.46</w:t>
            </w:r>
          </w:p>
        </w:tc>
        <w:tc>
          <w:tcPr>
            <w:tcW w:w="2993" w:type="dxa"/>
            <w:shd w:val="clear" w:color="auto" w:fill="auto"/>
          </w:tcPr>
          <w:p w:rsidR="001C377B" w:rsidRPr="00E62429" w:rsidRDefault="001C377B" w:rsidP="001C377B">
            <w:pPr>
              <w:spacing w:after="100" w:afterAutospacing="1"/>
              <w:jc w:val="right"/>
              <w:rPr>
                <w:rFonts w:ascii="Arial" w:hAnsi="Arial" w:cs="Arial"/>
                <w:sz w:val="20"/>
                <w:szCs w:val="20"/>
              </w:rPr>
            </w:pPr>
            <w:r>
              <w:rPr>
                <w:rFonts w:ascii="Arial" w:hAnsi="Arial" w:cs="Arial"/>
                <w:sz w:val="20"/>
                <w:szCs w:val="20"/>
              </w:rPr>
              <w:t>91’618,119.02</w:t>
            </w:r>
          </w:p>
        </w:tc>
      </w:tr>
      <w:tr w:rsidR="007F0D34" w:rsidRPr="00E62429" w:rsidTr="0052048A">
        <w:tc>
          <w:tcPr>
            <w:tcW w:w="2992" w:type="dxa"/>
            <w:shd w:val="clear" w:color="auto" w:fill="auto"/>
          </w:tcPr>
          <w:p w:rsidR="007F0D34" w:rsidRPr="00E62429" w:rsidRDefault="007F0D34" w:rsidP="007F0D34">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shd w:val="clear" w:color="auto" w:fill="auto"/>
          </w:tcPr>
          <w:p w:rsidR="007F0D34" w:rsidRPr="00E62429" w:rsidRDefault="007F0D34" w:rsidP="007F0D34">
            <w:pPr>
              <w:spacing w:after="100" w:afterAutospacing="1"/>
              <w:jc w:val="right"/>
              <w:rPr>
                <w:rFonts w:ascii="Arial" w:hAnsi="Arial" w:cs="Arial"/>
                <w:sz w:val="20"/>
                <w:szCs w:val="20"/>
              </w:rPr>
            </w:pPr>
            <w:r>
              <w:rPr>
                <w:rFonts w:ascii="Arial" w:hAnsi="Arial" w:cs="Arial"/>
                <w:sz w:val="20"/>
                <w:szCs w:val="20"/>
              </w:rPr>
              <w:t>97</w:t>
            </w:r>
            <w:r w:rsidRPr="00E62429">
              <w:rPr>
                <w:rFonts w:ascii="Arial" w:hAnsi="Arial" w:cs="Arial"/>
                <w:sz w:val="20"/>
                <w:szCs w:val="20"/>
              </w:rPr>
              <w:t>’</w:t>
            </w:r>
            <w:r>
              <w:rPr>
                <w:rFonts w:ascii="Arial" w:hAnsi="Arial" w:cs="Arial"/>
                <w:sz w:val="20"/>
                <w:szCs w:val="20"/>
              </w:rPr>
              <w:t>638</w:t>
            </w:r>
            <w:r w:rsidRPr="00E62429">
              <w:rPr>
                <w:rFonts w:ascii="Arial" w:hAnsi="Arial" w:cs="Arial"/>
                <w:sz w:val="20"/>
                <w:szCs w:val="20"/>
              </w:rPr>
              <w:t>,</w:t>
            </w:r>
            <w:r>
              <w:rPr>
                <w:rFonts w:ascii="Arial" w:hAnsi="Arial" w:cs="Arial"/>
                <w:sz w:val="20"/>
                <w:szCs w:val="20"/>
              </w:rPr>
              <w:t>722</w:t>
            </w:r>
            <w:r w:rsidRPr="00E62429">
              <w:rPr>
                <w:rFonts w:ascii="Arial" w:hAnsi="Arial" w:cs="Arial"/>
                <w:sz w:val="20"/>
                <w:szCs w:val="20"/>
              </w:rPr>
              <w:t>.</w:t>
            </w:r>
            <w:r>
              <w:rPr>
                <w:rFonts w:ascii="Arial" w:hAnsi="Arial" w:cs="Arial"/>
                <w:sz w:val="20"/>
                <w:szCs w:val="20"/>
              </w:rPr>
              <w:t>15</w:t>
            </w:r>
          </w:p>
        </w:tc>
        <w:tc>
          <w:tcPr>
            <w:tcW w:w="2993" w:type="dxa"/>
            <w:shd w:val="clear" w:color="auto" w:fill="auto"/>
          </w:tcPr>
          <w:p w:rsidR="007F0D34" w:rsidRPr="00E62429" w:rsidRDefault="007F0D34" w:rsidP="007F0D34">
            <w:pPr>
              <w:spacing w:after="100" w:afterAutospacing="1"/>
              <w:jc w:val="right"/>
              <w:rPr>
                <w:rFonts w:ascii="Arial" w:hAnsi="Arial" w:cs="Arial"/>
                <w:sz w:val="20"/>
                <w:szCs w:val="20"/>
              </w:rPr>
            </w:pPr>
            <w:r>
              <w:rPr>
                <w:rFonts w:ascii="Arial" w:hAnsi="Arial" w:cs="Arial"/>
                <w:sz w:val="20"/>
                <w:szCs w:val="20"/>
              </w:rPr>
              <w:t>97</w:t>
            </w:r>
            <w:r w:rsidRPr="00E62429">
              <w:rPr>
                <w:rFonts w:ascii="Arial" w:hAnsi="Arial" w:cs="Arial"/>
                <w:sz w:val="20"/>
                <w:szCs w:val="20"/>
              </w:rPr>
              <w:t>’</w:t>
            </w:r>
            <w:r>
              <w:rPr>
                <w:rFonts w:ascii="Arial" w:hAnsi="Arial" w:cs="Arial"/>
                <w:sz w:val="20"/>
                <w:szCs w:val="20"/>
              </w:rPr>
              <w:t>638</w:t>
            </w:r>
            <w:r w:rsidRPr="00E62429">
              <w:rPr>
                <w:rFonts w:ascii="Arial" w:hAnsi="Arial" w:cs="Arial"/>
                <w:sz w:val="20"/>
                <w:szCs w:val="20"/>
              </w:rPr>
              <w:t>,</w:t>
            </w:r>
            <w:r>
              <w:rPr>
                <w:rFonts w:ascii="Arial" w:hAnsi="Arial" w:cs="Arial"/>
                <w:sz w:val="20"/>
                <w:szCs w:val="20"/>
              </w:rPr>
              <w:t>722</w:t>
            </w:r>
            <w:r w:rsidRPr="00E62429">
              <w:rPr>
                <w:rFonts w:ascii="Arial" w:hAnsi="Arial" w:cs="Arial"/>
                <w:sz w:val="20"/>
                <w:szCs w:val="20"/>
              </w:rPr>
              <w:t>.</w:t>
            </w:r>
            <w:r>
              <w:rPr>
                <w:rFonts w:ascii="Arial" w:hAnsi="Arial" w:cs="Arial"/>
                <w:sz w:val="20"/>
                <w:szCs w:val="20"/>
              </w:rPr>
              <w:t>15</w:t>
            </w:r>
          </w:p>
        </w:tc>
      </w:tr>
    </w:tbl>
    <w:p w:rsidR="0022136E" w:rsidRPr="0022136E" w:rsidRDefault="0022136E" w:rsidP="00217E0D">
      <w:pPr>
        <w:spacing w:after="100" w:afterAutospacing="1"/>
        <w:jc w:val="both"/>
        <w:rPr>
          <w:rFonts w:ascii="Arial" w:hAnsi="Arial" w:cs="Arial"/>
          <w:sz w:val="10"/>
          <w:szCs w:val="10"/>
        </w:rPr>
      </w:pPr>
    </w:p>
    <w:p w:rsidR="00217E0D" w:rsidRDefault="002F0322" w:rsidP="00217E0D">
      <w:pPr>
        <w:spacing w:after="100" w:afterAutospacing="1"/>
        <w:jc w:val="both"/>
        <w:rPr>
          <w:rFonts w:ascii="Arial" w:hAnsi="Arial" w:cs="Arial"/>
          <w:sz w:val="20"/>
          <w:szCs w:val="20"/>
        </w:rPr>
      </w:pPr>
      <w:r>
        <w:rPr>
          <w:rFonts w:ascii="Arial" w:hAnsi="Arial" w:cs="Arial"/>
          <w:sz w:val="20"/>
          <w:szCs w:val="20"/>
        </w:rPr>
        <w:t>Cabe hacer mención que a é</w:t>
      </w:r>
      <w:r w:rsidR="00217E0D" w:rsidRPr="00E62429">
        <w:rPr>
          <w:rFonts w:ascii="Arial" w:hAnsi="Arial" w:cs="Arial"/>
          <w:sz w:val="20"/>
          <w:szCs w:val="20"/>
        </w:rPr>
        <w:t>sta fecha, está pendiente de realizar la desincorporación de la Universidad Tecnol</w:t>
      </w:r>
      <w:r w:rsidR="00217E0D">
        <w:rPr>
          <w:rFonts w:ascii="Arial" w:hAnsi="Arial" w:cs="Arial"/>
          <w:sz w:val="20"/>
          <w:szCs w:val="20"/>
        </w:rPr>
        <w:t>ógica de San Miguel de Allende.</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rsidR="00217E0D" w:rsidRPr="00E62429" w:rsidRDefault="00217E0D" w:rsidP="00916609">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0091660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sidR="00194D87">
        <w:rPr>
          <w:rFonts w:ascii="Arial" w:hAnsi="Arial" w:cs="Arial"/>
          <w:sz w:val="20"/>
          <w:szCs w:val="20"/>
        </w:rPr>
        <w:t>31</w:t>
      </w:r>
      <w:r w:rsidRPr="00E62429">
        <w:rPr>
          <w:rFonts w:ascii="Arial" w:hAnsi="Arial" w:cs="Arial"/>
          <w:sz w:val="20"/>
          <w:szCs w:val="20"/>
        </w:rPr>
        <w:t xml:space="preserve"> de </w:t>
      </w:r>
      <w:r w:rsidR="00194D87">
        <w:rPr>
          <w:rFonts w:ascii="Arial" w:hAnsi="Arial" w:cs="Arial"/>
          <w:sz w:val="20"/>
          <w:szCs w:val="20"/>
        </w:rPr>
        <w:t>dicie</w:t>
      </w:r>
      <w:r w:rsidR="005606A2">
        <w:rPr>
          <w:rFonts w:ascii="Arial" w:hAnsi="Arial" w:cs="Arial"/>
          <w:sz w:val="20"/>
          <w:szCs w:val="20"/>
        </w:rPr>
        <w:t>mbre</w:t>
      </w:r>
      <w:r w:rsidRPr="00E62429">
        <w:rPr>
          <w:rFonts w:ascii="Arial" w:hAnsi="Arial" w:cs="Arial"/>
          <w:sz w:val="20"/>
          <w:szCs w:val="20"/>
        </w:rPr>
        <w:t xml:space="preserve"> ascienden a un importe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Federal                  </w:t>
      </w:r>
      <w:r w:rsidR="005606A2">
        <w:rPr>
          <w:rFonts w:ascii="Arial" w:hAnsi="Arial" w:cs="Arial"/>
          <w:sz w:val="20"/>
          <w:szCs w:val="20"/>
        </w:rPr>
        <w:t xml:space="preserve"> </w:t>
      </w:r>
      <w:r w:rsidR="00194D87">
        <w:rPr>
          <w:rFonts w:ascii="Arial" w:hAnsi="Arial" w:cs="Arial"/>
          <w:sz w:val="20"/>
          <w:szCs w:val="20"/>
        </w:rPr>
        <w:t>42’697,354.00</w:t>
      </w:r>
      <w:r w:rsidRPr="00E62429">
        <w:rPr>
          <w:rFonts w:ascii="Arial" w:hAnsi="Arial" w:cs="Arial"/>
          <w:sz w:val="20"/>
          <w:szCs w:val="20"/>
        </w:rPr>
        <w:tab/>
      </w:r>
    </w:p>
    <w:p w:rsidR="007F6377"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Estatal                  </w:t>
      </w:r>
      <w:r w:rsidR="00E2043A">
        <w:rPr>
          <w:rFonts w:ascii="Arial" w:hAnsi="Arial" w:cs="Arial"/>
          <w:sz w:val="20"/>
          <w:szCs w:val="20"/>
        </w:rPr>
        <w:t xml:space="preserve"> </w:t>
      </w:r>
      <w:r w:rsidR="005606A2">
        <w:rPr>
          <w:rFonts w:ascii="Arial" w:hAnsi="Arial" w:cs="Arial"/>
          <w:sz w:val="20"/>
          <w:szCs w:val="20"/>
        </w:rPr>
        <w:t xml:space="preserve"> </w:t>
      </w:r>
      <w:r w:rsidR="00194D87">
        <w:rPr>
          <w:rFonts w:ascii="Arial" w:hAnsi="Arial" w:cs="Arial"/>
          <w:sz w:val="20"/>
          <w:szCs w:val="20"/>
        </w:rPr>
        <w:t>50’503,208.52</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Ingresos Propios   </w:t>
      </w:r>
      <w:r w:rsidR="00AF0870">
        <w:rPr>
          <w:rFonts w:ascii="Arial" w:hAnsi="Arial" w:cs="Arial"/>
          <w:sz w:val="20"/>
          <w:szCs w:val="20"/>
        </w:rPr>
        <w:t xml:space="preserve">  </w:t>
      </w:r>
      <w:r w:rsidR="00C5564A">
        <w:rPr>
          <w:rFonts w:ascii="Arial" w:hAnsi="Arial" w:cs="Arial"/>
          <w:sz w:val="20"/>
          <w:szCs w:val="20"/>
        </w:rPr>
        <w:t xml:space="preserve"> </w:t>
      </w:r>
      <w:r w:rsidR="00194D87">
        <w:rPr>
          <w:rFonts w:ascii="Arial" w:hAnsi="Arial" w:cs="Arial"/>
          <w:sz w:val="20"/>
          <w:szCs w:val="20"/>
        </w:rPr>
        <w:t>7’899,505.21</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Importes que están acordes con el pronóstico de ingresos de la Institución.</w:t>
      </w:r>
    </w:p>
    <w:p w:rsidR="0022136E" w:rsidRPr="00E62429" w:rsidRDefault="0022136E"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b) Proyección de la recaudación e ingresos en el mediano plazo: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Recaudado             </w:t>
      </w:r>
      <w:r w:rsidR="00465461">
        <w:rPr>
          <w:rFonts w:ascii="Arial" w:hAnsi="Arial" w:cs="Arial"/>
          <w:sz w:val="20"/>
          <w:szCs w:val="20"/>
        </w:rPr>
        <w:t xml:space="preserve"> </w:t>
      </w:r>
      <w:r w:rsidR="00AD1319">
        <w:rPr>
          <w:rFonts w:ascii="Arial" w:hAnsi="Arial" w:cs="Arial"/>
          <w:sz w:val="20"/>
          <w:szCs w:val="20"/>
        </w:rPr>
        <w:t>7</w:t>
      </w:r>
      <w:r w:rsidR="00011584">
        <w:rPr>
          <w:rFonts w:ascii="Arial" w:hAnsi="Arial" w:cs="Arial"/>
          <w:sz w:val="20"/>
          <w:szCs w:val="20"/>
        </w:rPr>
        <w:t>’</w:t>
      </w:r>
      <w:r w:rsidR="0070377D">
        <w:rPr>
          <w:rFonts w:ascii="Arial" w:hAnsi="Arial" w:cs="Arial"/>
          <w:sz w:val="20"/>
          <w:szCs w:val="20"/>
        </w:rPr>
        <w:t>899</w:t>
      </w:r>
      <w:r w:rsidR="00011584">
        <w:rPr>
          <w:rFonts w:ascii="Arial" w:hAnsi="Arial" w:cs="Arial"/>
          <w:sz w:val="20"/>
          <w:szCs w:val="20"/>
        </w:rPr>
        <w:t>,</w:t>
      </w:r>
      <w:r w:rsidR="0070377D">
        <w:rPr>
          <w:rFonts w:ascii="Arial" w:hAnsi="Arial" w:cs="Arial"/>
          <w:sz w:val="20"/>
          <w:szCs w:val="20"/>
        </w:rPr>
        <w:t>505</w:t>
      </w:r>
      <w:r w:rsidR="00011584">
        <w:rPr>
          <w:rFonts w:ascii="Arial" w:hAnsi="Arial" w:cs="Arial"/>
          <w:sz w:val="20"/>
          <w:szCs w:val="20"/>
        </w:rPr>
        <w:t>.</w:t>
      </w:r>
      <w:r w:rsidR="0070377D">
        <w:rPr>
          <w:rFonts w:ascii="Arial" w:hAnsi="Arial" w:cs="Arial"/>
          <w:sz w:val="20"/>
          <w:szCs w:val="20"/>
        </w:rPr>
        <w:t>21</w:t>
      </w:r>
    </w:p>
    <w:p w:rsidR="00217E0D" w:rsidRPr="00E62429" w:rsidRDefault="00217E0D" w:rsidP="00217E0D">
      <w:pPr>
        <w:spacing w:after="100" w:afterAutospacing="1"/>
        <w:ind w:left="708" w:hanging="708"/>
        <w:jc w:val="both"/>
        <w:rPr>
          <w:rFonts w:ascii="Arial" w:hAnsi="Arial" w:cs="Arial"/>
          <w:sz w:val="20"/>
          <w:szCs w:val="20"/>
        </w:rPr>
      </w:pPr>
      <w:r w:rsidRPr="00E62429">
        <w:rPr>
          <w:rFonts w:ascii="Arial" w:hAnsi="Arial" w:cs="Arial"/>
          <w:sz w:val="20"/>
          <w:szCs w:val="20"/>
        </w:rPr>
        <w:t xml:space="preserve">Por recaudar        </w:t>
      </w:r>
      <w:r w:rsidR="00BA5AB8">
        <w:rPr>
          <w:rFonts w:ascii="Arial" w:hAnsi="Arial" w:cs="Arial"/>
          <w:sz w:val="20"/>
          <w:szCs w:val="20"/>
        </w:rPr>
        <w:t xml:space="preserve"> </w:t>
      </w:r>
      <w:r w:rsidR="00465461">
        <w:rPr>
          <w:rFonts w:ascii="Arial" w:hAnsi="Arial" w:cs="Arial"/>
          <w:sz w:val="20"/>
          <w:szCs w:val="20"/>
        </w:rPr>
        <w:t xml:space="preserve"> </w:t>
      </w:r>
      <w:r w:rsidRPr="00E62429">
        <w:rPr>
          <w:rFonts w:ascii="Arial" w:hAnsi="Arial" w:cs="Arial"/>
          <w:sz w:val="20"/>
          <w:szCs w:val="20"/>
        </w:rPr>
        <w:t xml:space="preserve"> </w:t>
      </w:r>
      <w:r w:rsidR="00CF5A42">
        <w:rPr>
          <w:rFonts w:ascii="Arial" w:hAnsi="Arial" w:cs="Arial"/>
          <w:sz w:val="20"/>
          <w:szCs w:val="20"/>
        </w:rPr>
        <w:t xml:space="preserve"> </w:t>
      </w:r>
      <w:r w:rsidR="000B55BF">
        <w:rPr>
          <w:rFonts w:ascii="Arial" w:hAnsi="Arial" w:cs="Arial"/>
          <w:sz w:val="20"/>
          <w:szCs w:val="20"/>
        </w:rPr>
        <w:t xml:space="preserve">           </w:t>
      </w:r>
      <w:r w:rsidR="00A80D01">
        <w:rPr>
          <w:rFonts w:ascii="Arial" w:hAnsi="Arial" w:cs="Arial"/>
          <w:sz w:val="20"/>
          <w:szCs w:val="20"/>
        </w:rPr>
        <w:t xml:space="preserve"> </w:t>
      </w:r>
      <w:r w:rsidR="005D1CE9">
        <w:rPr>
          <w:rFonts w:ascii="Arial" w:hAnsi="Arial" w:cs="Arial"/>
          <w:sz w:val="20"/>
          <w:szCs w:val="20"/>
        </w:rPr>
        <w:t xml:space="preserve"> </w:t>
      </w:r>
      <w:r w:rsidR="00A80D01">
        <w:rPr>
          <w:rFonts w:ascii="Arial" w:hAnsi="Arial" w:cs="Arial"/>
          <w:sz w:val="20"/>
          <w:szCs w:val="20"/>
        </w:rPr>
        <w:t xml:space="preserve"> </w:t>
      </w:r>
      <w:r w:rsidR="000B55BF">
        <w:rPr>
          <w:rFonts w:ascii="Arial" w:hAnsi="Arial" w:cs="Arial"/>
          <w:sz w:val="20"/>
          <w:szCs w:val="20"/>
        </w:rPr>
        <w:t>0.00</w:t>
      </w:r>
      <w:r w:rsidR="005F605A">
        <w:rPr>
          <w:rFonts w:ascii="Arial" w:hAnsi="Arial" w:cs="Arial"/>
          <w:sz w:val="20"/>
          <w:szCs w:val="20"/>
        </w:rPr>
        <w:t xml:space="preserve">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Total                      </w:t>
      </w:r>
      <w:r>
        <w:rPr>
          <w:rFonts w:ascii="Arial" w:hAnsi="Arial" w:cs="Arial"/>
          <w:sz w:val="20"/>
          <w:szCs w:val="20"/>
        </w:rPr>
        <w:t xml:space="preserve">  </w:t>
      </w:r>
      <w:r w:rsidR="00465461">
        <w:rPr>
          <w:rFonts w:ascii="Arial" w:hAnsi="Arial" w:cs="Arial"/>
          <w:sz w:val="20"/>
          <w:szCs w:val="20"/>
        </w:rPr>
        <w:t xml:space="preserve"> </w:t>
      </w:r>
      <w:r w:rsidR="00CF5A42">
        <w:rPr>
          <w:rFonts w:ascii="Arial" w:hAnsi="Arial" w:cs="Arial"/>
          <w:sz w:val="20"/>
          <w:szCs w:val="20"/>
        </w:rPr>
        <w:t>7</w:t>
      </w:r>
      <w:r w:rsidR="00394CFA">
        <w:rPr>
          <w:rFonts w:ascii="Arial" w:hAnsi="Arial" w:cs="Arial"/>
          <w:sz w:val="20"/>
          <w:szCs w:val="20"/>
        </w:rPr>
        <w:t>’</w:t>
      </w:r>
      <w:r w:rsidR="00532602">
        <w:rPr>
          <w:rFonts w:ascii="Arial" w:hAnsi="Arial" w:cs="Arial"/>
          <w:sz w:val="20"/>
          <w:szCs w:val="20"/>
        </w:rPr>
        <w:t>731,917.00</w:t>
      </w:r>
    </w:p>
    <w:p w:rsidR="005F605A" w:rsidRDefault="00217E0D" w:rsidP="00217E0D">
      <w:pPr>
        <w:spacing w:after="100" w:afterAutospacing="1"/>
        <w:jc w:val="both"/>
        <w:rPr>
          <w:rFonts w:ascii="Arial" w:hAnsi="Arial" w:cs="Arial"/>
          <w:sz w:val="20"/>
          <w:szCs w:val="20"/>
        </w:rPr>
      </w:pPr>
      <w:r>
        <w:rPr>
          <w:rFonts w:ascii="Arial" w:hAnsi="Arial" w:cs="Arial"/>
          <w:b/>
          <w:sz w:val="20"/>
          <w:szCs w:val="20"/>
        </w:rPr>
        <w:t>*Nota</w:t>
      </w:r>
      <w:r w:rsidR="00623382">
        <w:rPr>
          <w:rFonts w:ascii="Arial" w:hAnsi="Arial" w:cs="Arial"/>
          <w:b/>
          <w:sz w:val="20"/>
          <w:szCs w:val="20"/>
        </w:rPr>
        <w:t xml:space="preserve">: </w:t>
      </w:r>
      <w:r w:rsidR="00623382">
        <w:rPr>
          <w:rFonts w:ascii="Arial" w:hAnsi="Arial" w:cs="Arial"/>
          <w:sz w:val="20"/>
          <w:szCs w:val="20"/>
        </w:rPr>
        <w:t>el pronóstico para 201</w:t>
      </w:r>
      <w:r w:rsidR="002365A5">
        <w:rPr>
          <w:rFonts w:ascii="Arial" w:hAnsi="Arial" w:cs="Arial"/>
          <w:sz w:val="20"/>
          <w:szCs w:val="20"/>
        </w:rPr>
        <w:t>8</w:t>
      </w:r>
      <w:r w:rsidR="00623382">
        <w:rPr>
          <w:rFonts w:ascii="Arial" w:hAnsi="Arial" w:cs="Arial"/>
          <w:sz w:val="20"/>
          <w:szCs w:val="20"/>
        </w:rPr>
        <w:t xml:space="preserve"> fue de $ 7’</w:t>
      </w:r>
      <w:r w:rsidR="002365A5">
        <w:rPr>
          <w:rFonts w:ascii="Arial" w:hAnsi="Arial" w:cs="Arial"/>
          <w:sz w:val="20"/>
          <w:szCs w:val="20"/>
        </w:rPr>
        <w:t>731</w:t>
      </w:r>
      <w:r w:rsidR="00D876D1">
        <w:rPr>
          <w:rFonts w:ascii="Arial" w:hAnsi="Arial" w:cs="Arial"/>
          <w:sz w:val="20"/>
          <w:szCs w:val="20"/>
        </w:rPr>
        <w:t>,</w:t>
      </w:r>
      <w:r w:rsidR="002365A5">
        <w:rPr>
          <w:rFonts w:ascii="Arial" w:hAnsi="Arial" w:cs="Arial"/>
          <w:sz w:val="20"/>
          <w:szCs w:val="20"/>
        </w:rPr>
        <w:t>917.00</w:t>
      </w:r>
      <w:r w:rsidR="000B55BF">
        <w:rPr>
          <w:rFonts w:ascii="Arial" w:hAnsi="Arial" w:cs="Arial"/>
          <w:sz w:val="20"/>
          <w:szCs w:val="20"/>
        </w:rPr>
        <w:t>, por lo que al cierre se superó la meta por $ 167,588.21</w:t>
      </w:r>
    </w:p>
    <w:p w:rsidR="00217E0D" w:rsidRPr="00E62429" w:rsidRDefault="00187F5E" w:rsidP="00217E0D">
      <w:pPr>
        <w:spacing w:after="100" w:afterAutospacing="1"/>
        <w:jc w:val="both"/>
        <w:rPr>
          <w:rFonts w:ascii="Arial" w:hAnsi="Arial" w:cs="Arial"/>
          <w:b/>
          <w:sz w:val="20"/>
          <w:szCs w:val="20"/>
        </w:rPr>
      </w:pPr>
      <w:r>
        <w:rPr>
          <w:rFonts w:ascii="Arial" w:hAnsi="Arial" w:cs="Arial"/>
          <w:sz w:val="20"/>
          <w:szCs w:val="20"/>
        </w:rPr>
        <w:t xml:space="preserve"> </w:t>
      </w:r>
      <w:r w:rsidR="00217E0D" w:rsidRPr="00E62429">
        <w:rPr>
          <w:rFonts w:ascii="Arial" w:hAnsi="Arial" w:cs="Arial"/>
          <w:b/>
          <w:sz w:val="20"/>
          <w:szCs w:val="20"/>
        </w:rPr>
        <w:t>11. Información sobre la Deuda y el Reporte Analítico de la Deuda:</w:t>
      </w:r>
      <w:r w:rsidR="00217E0D" w:rsidRPr="00E62429">
        <w:rPr>
          <w:rFonts w:ascii="Arial" w:hAnsi="Arial" w:cs="Arial"/>
          <w:b/>
          <w:sz w:val="20"/>
          <w:szCs w:val="20"/>
        </w:rPr>
        <w:tab/>
      </w:r>
      <w:r w:rsidR="00217E0D" w:rsidRPr="00E62429">
        <w:rPr>
          <w:rFonts w:ascii="Arial" w:hAnsi="Arial" w:cs="Arial"/>
          <w:b/>
          <w:sz w:val="20"/>
          <w:szCs w:val="20"/>
        </w:rPr>
        <w:tab/>
      </w:r>
      <w:r w:rsidR="00217E0D"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lo siguiente: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Se sigue el procedimiento de calidad en todo el proceso de contratación y compras desde su solicitud hasta el pago y resguardo de la documentación comprobatoria.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2136E" w:rsidRDefault="00217E0D" w:rsidP="00217E0D">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C732F2" w:rsidRDefault="00C732F2" w:rsidP="00217E0D">
      <w:pPr>
        <w:spacing w:after="100" w:afterAutospacing="1"/>
        <w:jc w:val="both"/>
        <w:rPr>
          <w:rFonts w:ascii="Arial" w:hAnsi="Arial" w:cs="Arial"/>
          <w:b/>
          <w:sz w:val="20"/>
          <w:szCs w:val="20"/>
        </w:rPr>
      </w:pPr>
    </w:p>
    <w:p w:rsidR="00C732F2" w:rsidRDefault="00C732F2" w:rsidP="00217E0D">
      <w:pPr>
        <w:spacing w:after="100" w:afterAutospacing="1"/>
        <w:jc w:val="both"/>
        <w:rPr>
          <w:rFonts w:ascii="Arial" w:hAnsi="Arial" w:cs="Arial"/>
          <w:b/>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lastRenderedPageBreak/>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B002CE" w:rsidRDefault="00B002CE"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3A2EF0" w:rsidRDefault="003A2EF0" w:rsidP="00217E0D">
      <w:pPr>
        <w:jc w:val="both"/>
        <w:rPr>
          <w:rFonts w:ascii="Arial" w:hAnsi="Arial" w:cs="Arial"/>
          <w:b/>
        </w:rPr>
      </w:pPr>
      <w:r w:rsidRPr="003A2EF0">
        <w:rPr>
          <w:rFonts w:ascii="Arial" w:hAnsi="Arial" w:cs="Arial"/>
          <w:b/>
        </w:rPr>
        <w:t>Anexo I</w:t>
      </w:r>
    </w:p>
    <w:p w:rsidR="00217E0D" w:rsidRDefault="00217E0D" w:rsidP="00217E0D">
      <w:pPr>
        <w:jc w:val="both"/>
        <w:rPr>
          <w:rFonts w:ascii="Arial" w:hAnsi="Arial" w:cs="Arial"/>
          <w:sz w:val="20"/>
          <w:szCs w:val="20"/>
        </w:rPr>
      </w:pPr>
    </w:p>
    <w:p w:rsidR="00217E0D" w:rsidRDefault="007065E3" w:rsidP="00217E0D">
      <w:pPr>
        <w:jc w:val="both"/>
        <w:rPr>
          <w:rFonts w:ascii="Arial" w:hAnsi="Arial" w:cs="Arial"/>
          <w:sz w:val="20"/>
          <w:szCs w:val="20"/>
        </w:rPr>
      </w:pPr>
      <w:r>
        <w:rPr>
          <w:noProof/>
          <w:lang w:val="es-MX" w:eastAsia="es-MX"/>
        </w:rPr>
        <w:drawing>
          <wp:inline distT="0" distB="0" distL="0" distR="0" wp14:anchorId="35EAFE8D" wp14:editId="133437B3">
            <wp:extent cx="8248650" cy="3124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0" cy="312420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3A9FC9BA" wp14:editId="1F0AC348">
            <wp:extent cx="8249797" cy="502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635" cy="5032759"/>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091058D6" wp14:editId="532CB068">
            <wp:extent cx="7267575" cy="4886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5441" cy="488489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lastRenderedPageBreak/>
        <w:drawing>
          <wp:inline distT="0" distB="0" distL="0" distR="0" wp14:anchorId="4B0F1B05" wp14:editId="1D8C7552">
            <wp:extent cx="7589450" cy="46117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450" cy="4611757"/>
                    </a:xfrm>
                    <a:prstGeom prst="rect">
                      <a:avLst/>
                    </a:prstGeom>
                    <a:noFill/>
                    <a:ln>
                      <a:noFill/>
                    </a:ln>
                  </pic:spPr>
                </pic:pic>
              </a:graphicData>
            </a:graphic>
          </wp:inline>
        </w:drawing>
      </w:r>
    </w:p>
    <w:p w:rsidR="007065E3" w:rsidRDefault="00892620" w:rsidP="00892620">
      <w:pPr>
        <w:tabs>
          <w:tab w:val="left" w:pos="11707"/>
        </w:tabs>
        <w:jc w:val="both"/>
        <w:rPr>
          <w:rFonts w:ascii="Arial" w:hAnsi="Arial" w:cs="Arial"/>
          <w:sz w:val="20"/>
          <w:szCs w:val="20"/>
        </w:rPr>
      </w:pPr>
      <w:r>
        <w:rPr>
          <w:rFonts w:ascii="Arial" w:hAnsi="Arial" w:cs="Arial"/>
          <w:sz w:val="20"/>
          <w:szCs w:val="20"/>
        </w:rPr>
        <w:tab/>
      </w:r>
    </w:p>
    <w:p w:rsidR="00217E0D" w:rsidRDefault="00217E0D" w:rsidP="00217E0D">
      <w:pPr>
        <w:jc w:val="center"/>
        <w:rPr>
          <w:rFonts w:ascii="Arial" w:hAnsi="Arial" w:cs="Arial"/>
          <w:b/>
          <w:sz w:val="20"/>
          <w:szCs w:val="20"/>
        </w:rPr>
      </w:pPr>
    </w:p>
    <w:p w:rsidR="003A2EF0" w:rsidRDefault="003A2EF0" w:rsidP="00217E0D">
      <w:pPr>
        <w:jc w:val="center"/>
        <w:rPr>
          <w:rFonts w:ascii="Arial" w:hAnsi="Arial" w:cs="Arial"/>
          <w:b/>
          <w:sz w:val="20"/>
          <w:szCs w:val="20"/>
        </w:rPr>
      </w:pPr>
    </w:p>
    <w:p w:rsidR="00217E0D" w:rsidRDefault="00217E0D" w:rsidP="00217E0D">
      <w:pPr>
        <w:jc w:val="center"/>
        <w:rPr>
          <w:rFonts w:ascii="Arial" w:hAnsi="Arial" w:cs="Arial"/>
          <w:b/>
          <w:sz w:val="20"/>
          <w:szCs w:val="20"/>
        </w:rPr>
      </w:pPr>
    </w:p>
    <w:p w:rsidR="00217E0D" w:rsidRPr="00C137AC" w:rsidRDefault="00217E0D" w:rsidP="00217E0D">
      <w:pPr>
        <w:jc w:val="center"/>
        <w:rPr>
          <w:rFonts w:ascii="Arial" w:hAnsi="Arial" w:cs="Arial"/>
          <w:b/>
          <w:sz w:val="20"/>
          <w:szCs w:val="20"/>
        </w:rPr>
      </w:pPr>
    </w:p>
    <w:bookmarkStart w:id="1" w:name="_MON_1511344080"/>
    <w:bookmarkEnd w:id="1"/>
    <w:p w:rsidR="00217E0D" w:rsidRPr="00C137AC" w:rsidRDefault="00892620" w:rsidP="00217E0D">
      <w:pPr>
        <w:rPr>
          <w:rFonts w:ascii="Arial" w:hAnsi="Arial" w:cs="Arial"/>
          <w:sz w:val="20"/>
          <w:szCs w:val="20"/>
        </w:rPr>
      </w:pPr>
      <w:r w:rsidRPr="00D34B4E">
        <w:rPr>
          <w:szCs w:val="18"/>
        </w:rPr>
        <w:object w:dxaOrig="24052"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1pt;height:25.35pt" o:ole="">
            <v:imagedata r:id="rId12" o:title=""/>
          </v:shape>
          <o:OLEObject Type="Embed" ProgID="Excel.Sheet.12" ShapeID="_x0000_i1025" DrawAspect="Content" ObjectID="_1609755871" r:id="rId13"/>
        </w:object>
      </w:r>
    </w:p>
    <w:sectPr w:rsidR="00217E0D" w:rsidRPr="00C137AC" w:rsidSect="00E97921">
      <w:headerReference w:type="even" r:id="rId14"/>
      <w:headerReference w:type="default" r:id="rId15"/>
      <w:footerReference w:type="even" r:id="rId16"/>
      <w:footerReference w:type="default" r:id="rId17"/>
      <w:pgSz w:w="15840" w:h="12240" w:orient="landscape"/>
      <w:pgMar w:top="1531" w:right="1077" w:bottom="1077" w:left="1077"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268" w:rsidRDefault="005C0268" w:rsidP="00EA5418">
      <w:r>
        <w:separator/>
      </w:r>
    </w:p>
  </w:endnote>
  <w:endnote w:type="continuationSeparator" w:id="0">
    <w:p w:rsidR="005C0268" w:rsidRDefault="005C0268"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4D6EBCD4" wp14:editId="2C4EE3F6">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755BA5"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013C8B">
          <w:rPr>
            <w:rFonts w:ascii="Arial" w:hAnsi="Arial" w:cs="Arial"/>
            <w:noProof/>
            <w:color w:val="808080" w:themeColor="background1" w:themeShade="80"/>
            <w:sz w:val="20"/>
            <w:szCs w:val="20"/>
          </w:rPr>
          <w:t>30</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98C3120" wp14:editId="424593E2">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077B98"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013C8B">
          <w:rPr>
            <w:rFonts w:ascii="Arial" w:hAnsi="Arial" w:cs="Arial"/>
            <w:noProof/>
            <w:color w:val="808080" w:themeColor="background1" w:themeShade="80"/>
            <w:sz w:val="20"/>
            <w:szCs w:val="20"/>
          </w:rPr>
          <w:t>17</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268" w:rsidRDefault="005C0268" w:rsidP="00EA5418">
      <w:r>
        <w:separator/>
      </w:r>
    </w:p>
  </w:footnote>
  <w:footnote w:type="continuationSeparator" w:id="0">
    <w:p w:rsidR="005C0268" w:rsidRDefault="005C0268"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4ADFB95C" wp14:editId="03D6DF29">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DB03D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653BC81D" wp14:editId="4178DE6C">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D97C81">
                            <w:rPr>
                              <w:rFonts w:ascii="Arial" w:hAnsi="Arial" w:cs="Arial"/>
                              <w:color w:val="808080" w:themeColor="background1" w:themeShade="80"/>
                              <w:sz w:val="32"/>
                              <w:szCs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C81D"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D97C81">
                      <w:rPr>
                        <w:rFonts w:ascii="Arial" w:hAnsi="Arial" w:cs="Arial"/>
                        <w:color w:val="808080" w:themeColor="background1" w:themeShade="80"/>
                        <w:sz w:val="32"/>
                        <w:szCs w:val="32"/>
                      </w:rPr>
                      <w:t>8</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54F99F90" wp14:editId="076B3859">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9F9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375D6A6D" wp14:editId="15C8A500">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AFE32B"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1"/>
  </w:num>
  <w:num w:numId="11">
    <w:abstractNumId w:val="4"/>
  </w:num>
  <w:num w:numId="12">
    <w:abstractNumId w:val="9"/>
  </w:num>
  <w:num w:numId="13">
    <w:abstractNumId w:val="17"/>
  </w:num>
  <w:num w:numId="14">
    <w:abstractNumId w:val="13"/>
  </w:num>
  <w:num w:numId="15">
    <w:abstractNumId w:val="7"/>
  </w:num>
  <w:num w:numId="16">
    <w:abstractNumId w:val="12"/>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11584"/>
    <w:rsid w:val="00013C8B"/>
    <w:rsid w:val="00031801"/>
    <w:rsid w:val="00040466"/>
    <w:rsid w:val="0004447B"/>
    <w:rsid w:val="000459F9"/>
    <w:rsid w:val="00051ECA"/>
    <w:rsid w:val="0005477C"/>
    <w:rsid w:val="00056042"/>
    <w:rsid w:val="00056793"/>
    <w:rsid w:val="00062DBE"/>
    <w:rsid w:val="0006568B"/>
    <w:rsid w:val="00075042"/>
    <w:rsid w:val="0008576C"/>
    <w:rsid w:val="000879DF"/>
    <w:rsid w:val="000958AC"/>
    <w:rsid w:val="000B3C7C"/>
    <w:rsid w:val="000B5005"/>
    <w:rsid w:val="000B55BF"/>
    <w:rsid w:val="000B5B8C"/>
    <w:rsid w:val="000B7C88"/>
    <w:rsid w:val="000C4654"/>
    <w:rsid w:val="000D040A"/>
    <w:rsid w:val="000D373E"/>
    <w:rsid w:val="000D5278"/>
    <w:rsid w:val="000D7E31"/>
    <w:rsid w:val="000E268C"/>
    <w:rsid w:val="000F418C"/>
    <w:rsid w:val="000F7B8B"/>
    <w:rsid w:val="0010245D"/>
    <w:rsid w:val="00116BF8"/>
    <w:rsid w:val="001179E1"/>
    <w:rsid w:val="00121C91"/>
    <w:rsid w:val="00124C63"/>
    <w:rsid w:val="00126634"/>
    <w:rsid w:val="0013011C"/>
    <w:rsid w:val="0013078A"/>
    <w:rsid w:val="00137A25"/>
    <w:rsid w:val="001435E8"/>
    <w:rsid w:val="001439FE"/>
    <w:rsid w:val="001534C0"/>
    <w:rsid w:val="00154BDE"/>
    <w:rsid w:val="001570B8"/>
    <w:rsid w:val="001640EB"/>
    <w:rsid w:val="001646D9"/>
    <w:rsid w:val="001650C8"/>
    <w:rsid w:val="00175462"/>
    <w:rsid w:val="00182FEF"/>
    <w:rsid w:val="00184631"/>
    <w:rsid w:val="001853A4"/>
    <w:rsid w:val="00187F5E"/>
    <w:rsid w:val="001946FD"/>
    <w:rsid w:val="00194D87"/>
    <w:rsid w:val="001A254A"/>
    <w:rsid w:val="001B0D37"/>
    <w:rsid w:val="001B19C9"/>
    <w:rsid w:val="001B19FC"/>
    <w:rsid w:val="001B1B72"/>
    <w:rsid w:val="001C2B50"/>
    <w:rsid w:val="001C377B"/>
    <w:rsid w:val="001C3A63"/>
    <w:rsid w:val="001C4AA4"/>
    <w:rsid w:val="001D36FA"/>
    <w:rsid w:val="001E3704"/>
    <w:rsid w:val="001E3B9D"/>
    <w:rsid w:val="001E7F9E"/>
    <w:rsid w:val="001F2043"/>
    <w:rsid w:val="001F2B24"/>
    <w:rsid w:val="001F39B8"/>
    <w:rsid w:val="00205A47"/>
    <w:rsid w:val="00207A49"/>
    <w:rsid w:val="00210899"/>
    <w:rsid w:val="00215916"/>
    <w:rsid w:val="00215EC7"/>
    <w:rsid w:val="002166CC"/>
    <w:rsid w:val="00217E0D"/>
    <w:rsid w:val="00217EA0"/>
    <w:rsid w:val="0022083B"/>
    <w:rsid w:val="0022136E"/>
    <w:rsid w:val="00230E0F"/>
    <w:rsid w:val="0023342A"/>
    <w:rsid w:val="002365A5"/>
    <w:rsid w:val="00253ACC"/>
    <w:rsid w:val="0026144C"/>
    <w:rsid w:val="00275BFC"/>
    <w:rsid w:val="002777C5"/>
    <w:rsid w:val="00281FEA"/>
    <w:rsid w:val="002A4651"/>
    <w:rsid w:val="002A70B3"/>
    <w:rsid w:val="002B5BDD"/>
    <w:rsid w:val="002B682B"/>
    <w:rsid w:val="002B6BA9"/>
    <w:rsid w:val="002C2C8E"/>
    <w:rsid w:val="002C7B6B"/>
    <w:rsid w:val="002D28CF"/>
    <w:rsid w:val="002E3600"/>
    <w:rsid w:val="002E77EA"/>
    <w:rsid w:val="002E7A4E"/>
    <w:rsid w:val="002F0183"/>
    <w:rsid w:val="002F0322"/>
    <w:rsid w:val="002F3096"/>
    <w:rsid w:val="002F7693"/>
    <w:rsid w:val="0030274E"/>
    <w:rsid w:val="003051AF"/>
    <w:rsid w:val="003052F5"/>
    <w:rsid w:val="00306499"/>
    <w:rsid w:val="00307635"/>
    <w:rsid w:val="003122B9"/>
    <w:rsid w:val="00312800"/>
    <w:rsid w:val="003147CE"/>
    <w:rsid w:val="0031515D"/>
    <w:rsid w:val="003153DE"/>
    <w:rsid w:val="0032547C"/>
    <w:rsid w:val="00331802"/>
    <w:rsid w:val="003400E4"/>
    <w:rsid w:val="00355821"/>
    <w:rsid w:val="003610E0"/>
    <w:rsid w:val="00361722"/>
    <w:rsid w:val="00367BF7"/>
    <w:rsid w:val="003701D6"/>
    <w:rsid w:val="00370561"/>
    <w:rsid w:val="00372684"/>
    <w:rsid w:val="00372F40"/>
    <w:rsid w:val="003740F6"/>
    <w:rsid w:val="00380734"/>
    <w:rsid w:val="00387AD4"/>
    <w:rsid w:val="00394CFA"/>
    <w:rsid w:val="003A2EF0"/>
    <w:rsid w:val="003A7898"/>
    <w:rsid w:val="003B0A35"/>
    <w:rsid w:val="003B2878"/>
    <w:rsid w:val="003C11A7"/>
    <w:rsid w:val="003D5DBF"/>
    <w:rsid w:val="003E0C64"/>
    <w:rsid w:val="003E132C"/>
    <w:rsid w:val="003E38CB"/>
    <w:rsid w:val="003E7FD0"/>
    <w:rsid w:val="00403847"/>
    <w:rsid w:val="004055B6"/>
    <w:rsid w:val="004079F5"/>
    <w:rsid w:val="00410C0A"/>
    <w:rsid w:val="00412797"/>
    <w:rsid w:val="00412E5D"/>
    <w:rsid w:val="00413755"/>
    <w:rsid w:val="00414245"/>
    <w:rsid w:val="004252AB"/>
    <w:rsid w:val="004274AA"/>
    <w:rsid w:val="004277AF"/>
    <w:rsid w:val="00437BF0"/>
    <w:rsid w:val="0044253C"/>
    <w:rsid w:val="00453B80"/>
    <w:rsid w:val="00464A91"/>
    <w:rsid w:val="00465461"/>
    <w:rsid w:val="00466DBB"/>
    <w:rsid w:val="004671E4"/>
    <w:rsid w:val="0047223C"/>
    <w:rsid w:val="00477029"/>
    <w:rsid w:val="00481BB6"/>
    <w:rsid w:val="00486AE1"/>
    <w:rsid w:val="004915D1"/>
    <w:rsid w:val="00491F63"/>
    <w:rsid w:val="00497D8B"/>
    <w:rsid w:val="004B01D6"/>
    <w:rsid w:val="004B05BC"/>
    <w:rsid w:val="004B56F7"/>
    <w:rsid w:val="004D3C95"/>
    <w:rsid w:val="004D41B8"/>
    <w:rsid w:val="004D4E9E"/>
    <w:rsid w:val="004E1F7A"/>
    <w:rsid w:val="004E5751"/>
    <w:rsid w:val="004F29CC"/>
    <w:rsid w:val="004F5739"/>
    <w:rsid w:val="00502D8E"/>
    <w:rsid w:val="00506351"/>
    <w:rsid w:val="0051061B"/>
    <w:rsid w:val="005117F4"/>
    <w:rsid w:val="00512C59"/>
    <w:rsid w:val="00522632"/>
    <w:rsid w:val="005227BA"/>
    <w:rsid w:val="00524746"/>
    <w:rsid w:val="005253B6"/>
    <w:rsid w:val="00525A46"/>
    <w:rsid w:val="0053052A"/>
    <w:rsid w:val="00531310"/>
    <w:rsid w:val="005324CE"/>
    <w:rsid w:val="00532602"/>
    <w:rsid w:val="00534982"/>
    <w:rsid w:val="00536F5C"/>
    <w:rsid w:val="00540418"/>
    <w:rsid w:val="005425E9"/>
    <w:rsid w:val="00543D9D"/>
    <w:rsid w:val="00553FE6"/>
    <w:rsid w:val="005540C2"/>
    <w:rsid w:val="005542F7"/>
    <w:rsid w:val="005606A2"/>
    <w:rsid w:val="005647F4"/>
    <w:rsid w:val="005677D8"/>
    <w:rsid w:val="005706D9"/>
    <w:rsid w:val="00573C7F"/>
    <w:rsid w:val="00582405"/>
    <w:rsid w:val="00584060"/>
    <w:rsid w:val="00584484"/>
    <w:rsid w:val="005859FA"/>
    <w:rsid w:val="005A05B5"/>
    <w:rsid w:val="005A1A7B"/>
    <w:rsid w:val="005A4763"/>
    <w:rsid w:val="005B6522"/>
    <w:rsid w:val="005C0268"/>
    <w:rsid w:val="005C11C0"/>
    <w:rsid w:val="005C4017"/>
    <w:rsid w:val="005D1CE9"/>
    <w:rsid w:val="005D4253"/>
    <w:rsid w:val="005D4B14"/>
    <w:rsid w:val="005F02C6"/>
    <w:rsid w:val="005F29A1"/>
    <w:rsid w:val="005F38CB"/>
    <w:rsid w:val="005F605A"/>
    <w:rsid w:val="006008D3"/>
    <w:rsid w:val="00601DE3"/>
    <w:rsid w:val="006039A4"/>
    <w:rsid w:val="00603D1A"/>
    <w:rsid w:val="006048D2"/>
    <w:rsid w:val="00611E39"/>
    <w:rsid w:val="006133D2"/>
    <w:rsid w:val="006223EE"/>
    <w:rsid w:val="00623382"/>
    <w:rsid w:val="00624AF0"/>
    <w:rsid w:val="00625474"/>
    <w:rsid w:val="00633237"/>
    <w:rsid w:val="00634EB6"/>
    <w:rsid w:val="006359FF"/>
    <w:rsid w:val="00640E11"/>
    <w:rsid w:val="00642815"/>
    <w:rsid w:val="00646BC3"/>
    <w:rsid w:val="00656AFE"/>
    <w:rsid w:val="00660A28"/>
    <w:rsid w:val="00661772"/>
    <w:rsid w:val="00662E1A"/>
    <w:rsid w:val="006638AC"/>
    <w:rsid w:val="00665222"/>
    <w:rsid w:val="0067215F"/>
    <w:rsid w:val="006725E1"/>
    <w:rsid w:val="00677600"/>
    <w:rsid w:val="00682609"/>
    <w:rsid w:val="00682F2F"/>
    <w:rsid w:val="006944F9"/>
    <w:rsid w:val="006A0895"/>
    <w:rsid w:val="006A14F2"/>
    <w:rsid w:val="006B3871"/>
    <w:rsid w:val="006B729B"/>
    <w:rsid w:val="006C03D8"/>
    <w:rsid w:val="006C0640"/>
    <w:rsid w:val="006C1D3E"/>
    <w:rsid w:val="006D1BEC"/>
    <w:rsid w:val="006D350A"/>
    <w:rsid w:val="006D7978"/>
    <w:rsid w:val="006E0624"/>
    <w:rsid w:val="006E493A"/>
    <w:rsid w:val="006E54D7"/>
    <w:rsid w:val="006E6B8E"/>
    <w:rsid w:val="006E77DD"/>
    <w:rsid w:val="006F154B"/>
    <w:rsid w:val="006F4714"/>
    <w:rsid w:val="006F49B0"/>
    <w:rsid w:val="006F6105"/>
    <w:rsid w:val="0070377D"/>
    <w:rsid w:val="007065E3"/>
    <w:rsid w:val="00712E0E"/>
    <w:rsid w:val="00715210"/>
    <w:rsid w:val="00722314"/>
    <w:rsid w:val="007267D1"/>
    <w:rsid w:val="007279C1"/>
    <w:rsid w:val="00733105"/>
    <w:rsid w:val="00735C8C"/>
    <w:rsid w:val="00755B37"/>
    <w:rsid w:val="00761570"/>
    <w:rsid w:val="00761B3A"/>
    <w:rsid w:val="007667BE"/>
    <w:rsid w:val="007760B3"/>
    <w:rsid w:val="00780841"/>
    <w:rsid w:val="0078139D"/>
    <w:rsid w:val="00781BD1"/>
    <w:rsid w:val="0079139D"/>
    <w:rsid w:val="00794AC2"/>
    <w:rsid w:val="00794F06"/>
    <w:rsid w:val="007957C2"/>
    <w:rsid w:val="0079582C"/>
    <w:rsid w:val="007A16A9"/>
    <w:rsid w:val="007A37AC"/>
    <w:rsid w:val="007B11D4"/>
    <w:rsid w:val="007B126F"/>
    <w:rsid w:val="007B1A84"/>
    <w:rsid w:val="007B395E"/>
    <w:rsid w:val="007B4655"/>
    <w:rsid w:val="007B6D36"/>
    <w:rsid w:val="007B71E0"/>
    <w:rsid w:val="007B7396"/>
    <w:rsid w:val="007C040F"/>
    <w:rsid w:val="007C79D7"/>
    <w:rsid w:val="007D6E9A"/>
    <w:rsid w:val="007E7E72"/>
    <w:rsid w:val="007F0D34"/>
    <w:rsid w:val="007F0E35"/>
    <w:rsid w:val="007F6377"/>
    <w:rsid w:val="0080591B"/>
    <w:rsid w:val="00815659"/>
    <w:rsid w:val="00816AF8"/>
    <w:rsid w:val="00816BF6"/>
    <w:rsid w:val="00817382"/>
    <w:rsid w:val="00836A7F"/>
    <w:rsid w:val="008506AC"/>
    <w:rsid w:val="00850A69"/>
    <w:rsid w:val="00851947"/>
    <w:rsid w:val="00853A24"/>
    <w:rsid w:val="008621BB"/>
    <w:rsid w:val="008630EF"/>
    <w:rsid w:val="00863436"/>
    <w:rsid w:val="00864C60"/>
    <w:rsid w:val="0087007A"/>
    <w:rsid w:val="0088052B"/>
    <w:rsid w:val="0088491A"/>
    <w:rsid w:val="00892620"/>
    <w:rsid w:val="008A0783"/>
    <w:rsid w:val="008A546E"/>
    <w:rsid w:val="008A6E4D"/>
    <w:rsid w:val="008B0017"/>
    <w:rsid w:val="008B4216"/>
    <w:rsid w:val="008C22D5"/>
    <w:rsid w:val="008C6168"/>
    <w:rsid w:val="008D011E"/>
    <w:rsid w:val="008D2722"/>
    <w:rsid w:val="008D4272"/>
    <w:rsid w:val="008D768C"/>
    <w:rsid w:val="008E3652"/>
    <w:rsid w:val="008F5D22"/>
    <w:rsid w:val="009004E7"/>
    <w:rsid w:val="00905863"/>
    <w:rsid w:val="00906646"/>
    <w:rsid w:val="00906BC2"/>
    <w:rsid w:val="0091215B"/>
    <w:rsid w:val="009134E1"/>
    <w:rsid w:val="00916609"/>
    <w:rsid w:val="00916734"/>
    <w:rsid w:val="00917B4F"/>
    <w:rsid w:val="00922416"/>
    <w:rsid w:val="00926EB9"/>
    <w:rsid w:val="00935718"/>
    <w:rsid w:val="00951352"/>
    <w:rsid w:val="00952AAC"/>
    <w:rsid w:val="0095465F"/>
    <w:rsid w:val="0096474B"/>
    <w:rsid w:val="00966947"/>
    <w:rsid w:val="00970B6A"/>
    <w:rsid w:val="00972FEB"/>
    <w:rsid w:val="00974A08"/>
    <w:rsid w:val="0097585A"/>
    <w:rsid w:val="0097703C"/>
    <w:rsid w:val="0099048E"/>
    <w:rsid w:val="009909AB"/>
    <w:rsid w:val="00990D60"/>
    <w:rsid w:val="00994858"/>
    <w:rsid w:val="009A40F6"/>
    <w:rsid w:val="009B00DE"/>
    <w:rsid w:val="009B22E0"/>
    <w:rsid w:val="009C1CD1"/>
    <w:rsid w:val="009C2D8F"/>
    <w:rsid w:val="009C3DD4"/>
    <w:rsid w:val="009C7869"/>
    <w:rsid w:val="009D47A5"/>
    <w:rsid w:val="009D7CF9"/>
    <w:rsid w:val="009E00EA"/>
    <w:rsid w:val="009E2132"/>
    <w:rsid w:val="009E5DEA"/>
    <w:rsid w:val="00A041ED"/>
    <w:rsid w:val="00A05B12"/>
    <w:rsid w:val="00A0752F"/>
    <w:rsid w:val="00A11542"/>
    <w:rsid w:val="00A14B74"/>
    <w:rsid w:val="00A23882"/>
    <w:rsid w:val="00A23CCC"/>
    <w:rsid w:val="00A25D5F"/>
    <w:rsid w:val="00A34412"/>
    <w:rsid w:val="00A34915"/>
    <w:rsid w:val="00A365E4"/>
    <w:rsid w:val="00A40873"/>
    <w:rsid w:val="00A54A92"/>
    <w:rsid w:val="00A5610E"/>
    <w:rsid w:val="00A56409"/>
    <w:rsid w:val="00A74171"/>
    <w:rsid w:val="00A75930"/>
    <w:rsid w:val="00A76E42"/>
    <w:rsid w:val="00A80D01"/>
    <w:rsid w:val="00A83269"/>
    <w:rsid w:val="00A83EF6"/>
    <w:rsid w:val="00A910B7"/>
    <w:rsid w:val="00A911BD"/>
    <w:rsid w:val="00A913B9"/>
    <w:rsid w:val="00AA4C6C"/>
    <w:rsid w:val="00AB105F"/>
    <w:rsid w:val="00AB13B7"/>
    <w:rsid w:val="00AB49B5"/>
    <w:rsid w:val="00AB5C96"/>
    <w:rsid w:val="00AC420D"/>
    <w:rsid w:val="00AD0E70"/>
    <w:rsid w:val="00AD1319"/>
    <w:rsid w:val="00AD1576"/>
    <w:rsid w:val="00AD15AB"/>
    <w:rsid w:val="00AD2246"/>
    <w:rsid w:val="00AD35B9"/>
    <w:rsid w:val="00AD41FC"/>
    <w:rsid w:val="00AD42C4"/>
    <w:rsid w:val="00AD4901"/>
    <w:rsid w:val="00AE0C4F"/>
    <w:rsid w:val="00AE5EA4"/>
    <w:rsid w:val="00AF0870"/>
    <w:rsid w:val="00AF23F1"/>
    <w:rsid w:val="00AF7FFE"/>
    <w:rsid w:val="00B002CE"/>
    <w:rsid w:val="00B0157D"/>
    <w:rsid w:val="00B03232"/>
    <w:rsid w:val="00B05BA2"/>
    <w:rsid w:val="00B06832"/>
    <w:rsid w:val="00B1248C"/>
    <w:rsid w:val="00B13B37"/>
    <w:rsid w:val="00B14B1B"/>
    <w:rsid w:val="00B17423"/>
    <w:rsid w:val="00B328E1"/>
    <w:rsid w:val="00B42A02"/>
    <w:rsid w:val="00B45D6E"/>
    <w:rsid w:val="00B4605E"/>
    <w:rsid w:val="00B602FC"/>
    <w:rsid w:val="00B624A1"/>
    <w:rsid w:val="00B65D12"/>
    <w:rsid w:val="00B7083A"/>
    <w:rsid w:val="00B72E45"/>
    <w:rsid w:val="00B77F37"/>
    <w:rsid w:val="00B849EE"/>
    <w:rsid w:val="00B908BF"/>
    <w:rsid w:val="00B91044"/>
    <w:rsid w:val="00B93376"/>
    <w:rsid w:val="00B94CA9"/>
    <w:rsid w:val="00B96664"/>
    <w:rsid w:val="00BA5834"/>
    <w:rsid w:val="00BA5AB8"/>
    <w:rsid w:val="00BA6360"/>
    <w:rsid w:val="00BB5063"/>
    <w:rsid w:val="00BB5170"/>
    <w:rsid w:val="00BB6BB8"/>
    <w:rsid w:val="00BC0341"/>
    <w:rsid w:val="00BC11BA"/>
    <w:rsid w:val="00BC7E9F"/>
    <w:rsid w:val="00BE0728"/>
    <w:rsid w:val="00BE29B3"/>
    <w:rsid w:val="00BF767B"/>
    <w:rsid w:val="00C01057"/>
    <w:rsid w:val="00C03CD3"/>
    <w:rsid w:val="00C05618"/>
    <w:rsid w:val="00C07B9B"/>
    <w:rsid w:val="00C137AC"/>
    <w:rsid w:val="00C22F80"/>
    <w:rsid w:val="00C4072A"/>
    <w:rsid w:val="00C41A6F"/>
    <w:rsid w:val="00C4415B"/>
    <w:rsid w:val="00C44F01"/>
    <w:rsid w:val="00C524AA"/>
    <w:rsid w:val="00C52D31"/>
    <w:rsid w:val="00C5336C"/>
    <w:rsid w:val="00C5564A"/>
    <w:rsid w:val="00C60673"/>
    <w:rsid w:val="00C63C76"/>
    <w:rsid w:val="00C65469"/>
    <w:rsid w:val="00C70301"/>
    <w:rsid w:val="00C7120E"/>
    <w:rsid w:val="00C732F2"/>
    <w:rsid w:val="00C751D7"/>
    <w:rsid w:val="00C758E4"/>
    <w:rsid w:val="00C76C9F"/>
    <w:rsid w:val="00C77D0C"/>
    <w:rsid w:val="00C84C19"/>
    <w:rsid w:val="00C84E62"/>
    <w:rsid w:val="00C94CD0"/>
    <w:rsid w:val="00C95417"/>
    <w:rsid w:val="00C96409"/>
    <w:rsid w:val="00CA2D37"/>
    <w:rsid w:val="00CA35C5"/>
    <w:rsid w:val="00CB0216"/>
    <w:rsid w:val="00CB2780"/>
    <w:rsid w:val="00CB6955"/>
    <w:rsid w:val="00CC2455"/>
    <w:rsid w:val="00CC43EA"/>
    <w:rsid w:val="00CC5CB6"/>
    <w:rsid w:val="00CC7D3D"/>
    <w:rsid w:val="00CD1319"/>
    <w:rsid w:val="00CD270F"/>
    <w:rsid w:val="00CD5EEE"/>
    <w:rsid w:val="00CF2236"/>
    <w:rsid w:val="00CF2894"/>
    <w:rsid w:val="00CF2BDE"/>
    <w:rsid w:val="00CF5A42"/>
    <w:rsid w:val="00D055EC"/>
    <w:rsid w:val="00D0735B"/>
    <w:rsid w:val="00D23283"/>
    <w:rsid w:val="00D23466"/>
    <w:rsid w:val="00D2641B"/>
    <w:rsid w:val="00D3240B"/>
    <w:rsid w:val="00D325BD"/>
    <w:rsid w:val="00D33687"/>
    <w:rsid w:val="00D3446D"/>
    <w:rsid w:val="00D34B4E"/>
    <w:rsid w:val="00D3760D"/>
    <w:rsid w:val="00D404ED"/>
    <w:rsid w:val="00D47235"/>
    <w:rsid w:val="00D51261"/>
    <w:rsid w:val="00D54110"/>
    <w:rsid w:val="00D6111F"/>
    <w:rsid w:val="00D66966"/>
    <w:rsid w:val="00D72163"/>
    <w:rsid w:val="00D748D3"/>
    <w:rsid w:val="00D74CF0"/>
    <w:rsid w:val="00D876D1"/>
    <w:rsid w:val="00D97C81"/>
    <w:rsid w:val="00DA2BDF"/>
    <w:rsid w:val="00DA49F6"/>
    <w:rsid w:val="00DA5CB5"/>
    <w:rsid w:val="00DA7782"/>
    <w:rsid w:val="00DB2F7D"/>
    <w:rsid w:val="00DB6F0F"/>
    <w:rsid w:val="00DB73E6"/>
    <w:rsid w:val="00DD230F"/>
    <w:rsid w:val="00DD3642"/>
    <w:rsid w:val="00DD4DC0"/>
    <w:rsid w:val="00DD6926"/>
    <w:rsid w:val="00DD6A7C"/>
    <w:rsid w:val="00DE762C"/>
    <w:rsid w:val="00DF04BC"/>
    <w:rsid w:val="00DF0541"/>
    <w:rsid w:val="00DF3AD2"/>
    <w:rsid w:val="00DF723F"/>
    <w:rsid w:val="00E03C6A"/>
    <w:rsid w:val="00E13FEA"/>
    <w:rsid w:val="00E2043A"/>
    <w:rsid w:val="00E227E7"/>
    <w:rsid w:val="00E32708"/>
    <w:rsid w:val="00E40AE4"/>
    <w:rsid w:val="00E422FD"/>
    <w:rsid w:val="00E464BF"/>
    <w:rsid w:val="00E471B4"/>
    <w:rsid w:val="00E479BE"/>
    <w:rsid w:val="00E51762"/>
    <w:rsid w:val="00E54CE8"/>
    <w:rsid w:val="00E635F6"/>
    <w:rsid w:val="00E6714F"/>
    <w:rsid w:val="00E74945"/>
    <w:rsid w:val="00E757BB"/>
    <w:rsid w:val="00E76596"/>
    <w:rsid w:val="00E770C8"/>
    <w:rsid w:val="00E82476"/>
    <w:rsid w:val="00E9097D"/>
    <w:rsid w:val="00E97921"/>
    <w:rsid w:val="00EA5418"/>
    <w:rsid w:val="00EB441A"/>
    <w:rsid w:val="00EB4D19"/>
    <w:rsid w:val="00EB7AD9"/>
    <w:rsid w:val="00EC5975"/>
    <w:rsid w:val="00EC7D24"/>
    <w:rsid w:val="00ED16FA"/>
    <w:rsid w:val="00ED1B7C"/>
    <w:rsid w:val="00ED6C1A"/>
    <w:rsid w:val="00ED7A80"/>
    <w:rsid w:val="00EE0D9A"/>
    <w:rsid w:val="00EF1589"/>
    <w:rsid w:val="00EF1725"/>
    <w:rsid w:val="00EF2335"/>
    <w:rsid w:val="00EF4AF6"/>
    <w:rsid w:val="00F009DF"/>
    <w:rsid w:val="00F1292F"/>
    <w:rsid w:val="00F17883"/>
    <w:rsid w:val="00F272DA"/>
    <w:rsid w:val="00F27868"/>
    <w:rsid w:val="00F35918"/>
    <w:rsid w:val="00F41A59"/>
    <w:rsid w:val="00F53936"/>
    <w:rsid w:val="00F554EA"/>
    <w:rsid w:val="00F574B1"/>
    <w:rsid w:val="00F650C0"/>
    <w:rsid w:val="00F65A0F"/>
    <w:rsid w:val="00F7349E"/>
    <w:rsid w:val="00F837EE"/>
    <w:rsid w:val="00F96944"/>
    <w:rsid w:val="00F97211"/>
    <w:rsid w:val="00FA0623"/>
    <w:rsid w:val="00FB282A"/>
    <w:rsid w:val="00FB356E"/>
    <w:rsid w:val="00FB77E4"/>
    <w:rsid w:val="00FC3675"/>
    <w:rsid w:val="00FD32DC"/>
    <w:rsid w:val="00FE260F"/>
    <w:rsid w:val="00FE6888"/>
    <w:rsid w:val="00FE7F28"/>
    <w:rsid w:val="00FF2214"/>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BC44D-1902-4C21-B289-54312C20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Hoja_de_c_lculo_de_Microsoft_Excel.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A616F-D032-452A-A98B-A5DC42FF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3502</Words>
  <Characters>19261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2</cp:revision>
  <cp:lastPrinted>2018-10-09T19:59:00Z</cp:lastPrinted>
  <dcterms:created xsi:type="dcterms:W3CDTF">2019-01-23T19:38:00Z</dcterms:created>
  <dcterms:modified xsi:type="dcterms:W3CDTF">2019-01-23T19:38:00Z</dcterms:modified>
</cp:coreProperties>
</file>