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56CB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22FCD7FF" w:rsidR="007D1E76"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8F728A1" w14:textId="1CDE7DE9" w:rsidR="00F74FCD" w:rsidRDefault="00F74FCD" w:rsidP="00CB41C4">
      <w:pPr>
        <w:tabs>
          <w:tab w:val="left" w:leader="underscore" w:pos="9639"/>
        </w:tabs>
        <w:spacing w:after="0" w:line="240" w:lineRule="auto"/>
        <w:jc w:val="both"/>
        <w:rPr>
          <w:rFonts w:cs="Calibri"/>
        </w:rPr>
      </w:pPr>
    </w:p>
    <w:p w14:paraId="3D327D4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14:paraId="54FCEB4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14:paraId="05DADE82"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14:paraId="3896E14B"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14:paraId="0F4DB957" w14:textId="22430F9E" w:rsidR="00F74FCD" w:rsidRPr="00E62429" w:rsidRDefault="00F74FCD" w:rsidP="00F74FCD">
      <w:pPr>
        <w:spacing w:after="100" w:afterAutospacing="1"/>
        <w:jc w:val="both"/>
        <w:rPr>
          <w:rFonts w:ascii="Arial" w:hAnsi="Arial" w:cs="Arial"/>
          <w:sz w:val="20"/>
          <w:szCs w:val="20"/>
        </w:rPr>
      </w:pPr>
      <w:r>
        <w:rPr>
          <w:rFonts w:ascii="Arial" w:hAnsi="Arial" w:cs="Arial"/>
          <w:sz w:val="20"/>
          <w:szCs w:val="20"/>
        </w:rPr>
        <w:t xml:space="preserve">A </w:t>
      </w:r>
      <w:r w:rsidR="00E27F35">
        <w:rPr>
          <w:rFonts w:ascii="Arial" w:hAnsi="Arial" w:cs="Arial"/>
          <w:sz w:val="20"/>
          <w:szCs w:val="20"/>
        </w:rPr>
        <w:t>treinta</w:t>
      </w:r>
      <w:r w:rsidR="002D12DD">
        <w:rPr>
          <w:rFonts w:ascii="Arial" w:hAnsi="Arial" w:cs="Arial"/>
          <w:sz w:val="20"/>
          <w:szCs w:val="20"/>
        </w:rPr>
        <w:t xml:space="preserve"> </w:t>
      </w:r>
      <w:r w:rsidR="002D12DD" w:rsidRPr="00E62429">
        <w:rPr>
          <w:rFonts w:ascii="Arial" w:hAnsi="Arial" w:cs="Arial"/>
          <w:sz w:val="20"/>
          <w:szCs w:val="20"/>
        </w:rPr>
        <w:t>años</w:t>
      </w:r>
      <w:r w:rsidRPr="00E62429">
        <w:rPr>
          <w:rFonts w:ascii="Arial" w:hAnsi="Arial" w:cs="Arial"/>
          <w:sz w:val="20"/>
          <w:szCs w:val="20"/>
        </w:rPr>
        <w:t xml:space="preserve">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14:paraId="33CBEFD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Con base a lo descrito y de conformidad con lo establecido en nuestro marco técnico normativo, corresponde a la UTNG formular la planeación de su desarrollo, con el fin de orientar las acciones necesarias para el cumplimiento de sus fines.</w:t>
      </w:r>
    </w:p>
    <w:p w14:paraId="31BCA52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14:paraId="2D19B7A5" w14:textId="19B3CA05"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14:paraId="100A7C65"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14:paraId="7D52D93F" w14:textId="7CB3B344"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14:paraId="0614445C"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528F232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 Fecha de creación del ente.</w:t>
      </w:r>
    </w:p>
    <w:p w14:paraId="5845B0E4" w14:textId="77777777" w:rsidR="00F74FCD" w:rsidRPr="00E62429" w:rsidRDefault="00F74FCD" w:rsidP="00F74FC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w:t>
      </w:r>
      <w:proofErr w:type="spellStart"/>
      <w:r w:rsidRPr="00E62429">
        <w:rPr>
          <w:b w:val="0"/>
          <w:snapToGrid w:val="0"/>
          <w:sz w:val="20"/>
          <w:szCs w:val="20"/>
          <w:lang w:val="es-ES_tradnl"/>
        </w:rPr>
        <w:t>UT’s</w:t>
      </w:r>
      <w:proofErr w:type="spellEnd"/>
      <w:r w:rsidRPr="00E62429">
        <w:rPr>
          <w:b w:val="0"/>
          <w:snapToGrid w:val="0"/>
          <w:sz w:val="20"/>
          <w:szCs w:val="20"/>
          <w:lang w:val="es-ES_tradnl"/>
        </w:rPr>
        <w:t xml:space="preserve">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14:paraId="04A00D79" w14:textId="77777777" w:rsidR="00F74FCD" w:rsidRPr="00E62429" w:rsidRDefault="00F74FCD" w:rsidP="00F74FC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14:paraId="0B318AFD" w14:textId="77777777" w:rsidR="00F74FCD" w:rsidRPr="00E62429" w:rsidRDefault="00F74FCD" w:rsidP="00F74FC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14:paraId="06ADCFF3" w14:textId="77777777" w:rsidR="00F74FCD" w:rsidRPr="00E62429" w:rsidRDefault="00F74FCD" w:rsidP="00F74FC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14:paraId="550F4E0E" w14:textId="77777777" w:rsidR="00F74FCD" w:rsidRPr="00E62429" w:rsidRDefault="00F74FCD" w:rsidP="00F74FCD">
      <w:pPr>
        <w:spacing w:after="100" w:afterAutospacing="1"/>
        <w:jc w:val="both"/>
        <w:rPr>
          <w:rFonts w:ascii="Arial" w:hAnsi="Arial" w:cs="Arial"/>
          <w:sz w:val="20"/>
          <w:szCs w:val="20"/>
        </w:rPr>
      </w:pPr>
    </w:p>
    <w:p w14:paraId="4732527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Pr>
          <w:rFonts w:ascii="Arial" w:hAnsi="Arial" w:cs="Arial"/>
          <w:b/>
          <w:sz w:val="20"/>
          <w:szCs w:val="20"/>
        </w:rPr>
        <w:t>Anexo I</w:t>
      </w:r>
      <w:r w:rsidRPr="00E62429">
        <w:rPr>
          <w:rFonts w:ascii="Arial" w:hAnsi="Arial" w:cs="Arial"/>
          <w:sz w:val="20"/>
          <w:szCs w:val="20"/>
        </w:rPr>
        <w:t xml:space="preserve"> de las notas de gestión administrativa.</w:t>
      </w:r>
    </w:p>
    <w:p w14:paraId="1A20408F" w14:textId="7D2956E9" w:rsidR="00F74FCD" w:rsidRPr="00E62429" w:rsidRDefault="00F74FCD" w:rsidP="00F74FC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t>4. Organización y Objeto Social:</w:t>
      </w:r>
      <w:r w:rsidRPr="00E62429">
        <w:rPr>
          <w:rFonts w:ascii="Arial" w:hAnsi="Arial" w:cs="Arial"/>
          <w:b/>
          <w:sz w:val="20"/>
          <w:szCs w:val="20"/>
        </w:rPr>
        <w:tab/>
      </w:r>
      <w:r w:rsidRPr="00E62429">
        <w:rPr>
          <w:rFonts w:ascii="Arial" w:hAnsi="Arial" w:cs="Arial"/>
          <w:b/>
          <w:sz w:val="20"/>
          <w:szCs w:val="20"/>
        </w:rPr>
        <w:tab/>
      </w:r>
    </w:p>
    <w:p w14:paraId="62597F52"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14:paraId="1E7650AC"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14:paraId="3C018ED5"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14:paraId="22D14BA3"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14:paraId="524F5FEA"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14:paraId="34AE9985" w14:textId="35F828C6" w:rsidR="00F74FCD" w:rsidRDefault="00F74FCD" w:rsidP="004571E7">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14:paraId="294452AB"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b) Principal actividad</w:t>
      </w:r>
    </w:p>
    <w:p w14:paraId="3D242B4F"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14:paraId="2F9E509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14:paraId="678670FE" w14:textId="265947A4"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Pr>
          <w:rFonts w:ascii="Arial" w:hAnsi="Arial" w:cs="Arial"/>
          <w:sz w:val="20"/>
          <w:szCs w:val="20"/>
        </w:rPr>
        <w:t>e está en el periodo fiscal 202</w:t>
      </w:r>
      <w:r w:rsidR="009E1198">
        <w:rPr>
          <w:rFonts w:ascii="Arial" w:hAnsi="Arial" w:cs="Arial"/>
          <w:sz w:val="20"/>
          <w:szCs w:val="20"/>
        </w:rPr>
        <w:t>4</w:t>
      </w:r>
      <w:r w:rsidRPr="00E62429">
        <w:rPr>
          <w:rFonts w:ascii="Arial" w:hAnsi="Arial" w:cs="Arial"/>
          <w:sz w:val="20"/>
          <w:szCs w:val="20"/>
        </w:rPr>
        <w:t>.</w:t>
      </w:r>
    </w:p>
    <w:p w14:paraId="2BA9ACB2"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d) Régimen jurídico (Fiscal).</w:t>
      </w:r>
    </w:p>
    <w:p w14:paraId="2752FC23"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14:paraId="359F8B8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14:paraId="44B89874"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14:paraId="78BD6EE2"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14:paraId="1653BEA7"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14:paraId="25C5CB89"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14:paraId="301E0975" w14:textId="77777777" w:rsidR="00F74FCD" w:rsidRPr="00E62429" w:rsidRDefault="00F74FCD" w:rsidP="00F74FC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14:paraId="0B5D9A4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14:paraId="20F58325"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Pr>
          <w:rFonts w:ascii="Arial" w:hAnsi="Arial" w:cs="Arial"/>
          <w:b/>
          <w:sz w:val="20"/>
          <w:szCs w:val="20"/>
        </w:rPr>
        <w:t xml:space="preserve">Anexo I </w:t>
      </w:r>
      <w:r w:rsidRPr="00E62429">
        <w:rPr>
          <w:rFonts w:ascii="Arial" w:hAnsi="Arial" w:cs="Arial"/>
          <w:sz w:val="20"/>
          <w:szCs w:val="20"/>
        </w:rPr>
        <w:t>del documento Notas de Gestión Administrativa.</w:t>
      </w:r>
    </w:p>
    <w:p w14:paraId="05B4EFF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g) Fideicomisos, mandatos y análogos de los cuales es fideicomitente o fiduciario.</w:t>
      </w:r>
    </w:p>
    <w:p w14:paraId="0967BD0B" w14:textId="77777777" w:rsidR="00F74FCD"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14:paraId="5743301E"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799C810"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Se informará sobre:</w:t>
      </w:r>
    </w:p>
    <w:p w14:paraId="719CED7E"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14:paraId="2C4FF94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14:paraId="1319FD7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71DA9AD"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8033DD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c) Postulados básico</w:t>
      </w:r>
    </w:p>
    <w:p w14:paraId="2F677150"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14:paraId="2E72E39A"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892671C" w14:textId="77777777" w:rsidR="00F74FCD" w:rsidRPr="00E62429" w:rsidRDefault="00F74FCD" w:rsidP="00F74FCD">
      <w:pPr>
        <w:spacing w:after="100" w:afterAutospacing="1"/>
        <w:jc w:val="both"/>
        <w:rPr>
          <w:rFonts w:ascii="Arial" w:hAnsi="Arial" w:cs="Arial"/>
          <w:sz w:val="20"/>
          <w:szCs w:val="20"/>
        </w:rPr>
      </w:pPr>
      <w:r>
        <w:rPr>
          <w:rFonts w:ascii="Arial" w:hAnsi="Arial" w:cs="Arial"/>
          <w:sz w:val="20"/>
          <w:szCs w:val="20"/>
        </w:rPr>
        <w:t>No</w:t>
      </w:r>
      <w:r w:rsidRPr="00E62429">
        <w:rPr>
          <w:rFonts w:ascii="Arial" w:hAnsi="Arial" w:cs="Arial"/>
          <w:sz w:val="20"/>
          <w:szCs w:val="20"/>
        </w:rPr>
        <w:t xml:space="preserve"> se aplica normatividad supletoria diferente a lo que nos marca Contabilidad Gubernamental.</w:t>
      </w:r>
    </w:p>
    <w:p w14:paraId="738A60AE" w14:textId="4D71A58F"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el base devengado de acuerdo a la Ley de Contabilidad, deberán:</w:t>
      </w:r>
    </w:p>
    <w:p w14:paraId="1EABE64E" w14:textId="77777777" w:rsidR="00F74FCD" w:rsidRPr="00C65A8E" w:rsidRDefault="00F74FCD" w:rsidP="00F74FCD">
      <w:pPr>
        <w:pStyle w:val="Prrafodelista"/>
        <w:numPr>
          <w:ilvl w:val="0"/>
          <w:numId w:val="2"/>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14:paraId="43AEF1D0" w14:textId="77777777" w:rsidR="00F74FCD" w:rsidRPr="00E62429" w:rsidRDefault="00F74FCD" w:rsidP="00F74FC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14:paraId="297F8A3C" w14:textId="77777777" w:rsidR="00F74FCD" w:rsidRPr="00C65A8E" w:rsidRDefault="00F74FCD" w:rsidP="00F74FCD">
      <w:pPr>
        <w:pStyle w:val="Prrafodelista"/>
        <w:numPr>
          <w:ilvl w:val="0"/>
          <w:numId w:val="3"/>
        </w:numPr>
        <w:spacing w:after="100" w:afterAutospacing="1" w:line="360" w:lineRule="auto"/>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Plan de implementación:</w:t>
      </w:r>
    </w:p>
    <w:p w14:paraId="1CE6F930" w14:textId="77777777" w:rsidR="00F74FCD" w:rsidRPr="00E62429" w:rsidRDefault="00F74FCD" w:rsidP="00F74FC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14:paraId="63F274A9" w14:textId="77777777" w:rsidR="00F74FCD" w:rsidRPr="00C65A8E" w:rsidRDefault="00F74FCD" w:rsidP="00F74FCD">
      <w:pPr>
        <w:pStyle w:val="Prrafodelista"/>
        <w:numPr>
          <w:ilvl w:val="0"/>
          <w:numId w:val="4"/>
        </w:numPr>
        <w:spacing w:after="100" w:afterAutospacing="1" w:line="240" w:lineRule="auto"/>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14:paraId="67726982" w14:textId="1B628364"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14:paraId="09C54D2F"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712EA7F6"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14:paraId="25EE88CC"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14:paraId="4B02BA79"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14:paraId="42B88EEC"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3D4FBAD8"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14:paraId="36BFB26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732C13A0"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14:paraId="7CF9C4C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14:paraId="14FEF69D"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14:paraId="1447A34E"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14:paraId="4CB41B18" w14:textId="77777777" w:rsidR="004571E7" w:rsidRDefault="004571E7" w:rsidP="00F74FCD">
      <w:pPr>
        <w:spacing w:after="100" w:afterAutospacing="1"/>
        <w:jc w:val="both"/>
        <w:rPr>
          <w:rFonts w:ascii="Arial" w:hAnsi="Arial" w:cs="Arial"/>
          <w:b/>
          <w:sz w:val="20"/>
          <w:szCs w:val="20"/>
        </w:rPr>
      </w:pPr>
    </w:p>
    <w:p w14:paraId="39C700F2" w14:textId="77777777" w:rsidR="004571E7" w:rsidRDefault="004571E7" w:rsidP="00F74FCD">
      <w:pPr>
        <w:spacing w:after="100" w:afterAutospacing="1"/>
        <w:jc w:val="both"/>
        <w:rPr>
          <w:rFonts w:ascii="Arial" w:hAnsi="Arial" w:cs="Arial"/>
          <w:b/>
          <w:sz w:val="20"/>
          <w:szCs w:val="20"/>
        </w:rPr>
      </w:pPr>
    </w:p>
    <w:p w14:paraId="1B5098A4" w14:textId="34805198"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14:paraId="7DFC92FB" w14:textId="1417BDDC" w:rsidR="00F74FCD" w:rsidRDefault="00F74FCD" w:rsidP="00F74FCD">
      <w:pPr>
        <w:spacing w:after="100" w:afterAutospacing="1"/>
        <w:jc w:val="both"/>
        <w:rPr>
          <w:rFonts w:ascii="Arial" w:hAnsi="Arial" w:cs="Arial"/>
          <w:sz w:val="20"/>
          <w:szCs w:val="20"/>
        </w:rPr>
      </w:pPr>
      <w:r>
        <w:rPr>
          <w:rFonts w:ascii="Arial" w:hAnsi="Arial" w:cs="Arial"/>
          <w:sz w:val="20"/>
          <w:szCs w:val="20"/>
        </w:rPr>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Pr>
          <w:rFonts w:ascii="Arial" w:hAnsi="Arial" w:cs="Arial"/>
          <w:sz w:val="20"/>
          <w:szCs w:val="20"/>
        </w:rPr>
        <w:t xml:space="preserve"> al </w:t>
      </w:r>
      <w:r w:rsidR="00B5448F">
        <w:rPr>
          <w:rFonts w:ascii="Arial" w:hAnsi="Arial" w:cs="Arial"/>
          <w:sz w:val="20"/>
          <w:szCs w:val="20"/>
        </w:rPr>
        <w:t>31</w:t>
      </w:r>
      <w:r>
        <w:rPr>
          <w:rFonts w:ascii="Arial" w:hAnsi="Arial" w:cs="Arial"/>
          <w:sz w:val="20"/>
          <w:szCs w:val="20"/>
        </w:rPr>
        <w:t xml:space="preserve"> de </w:t>
      </w:r>
      <w:r w:rsidR="00823B4C">
        <w:rPr>
          <w:rFonts w:ascii="Arial" w:hAnsi="Arial" w:cs="Arial"/>
          <w:sz w:val="20"/>
          <w:szCs w:val="20"/>
        </w:rPr>
        <w:t>marzo</w:t>
      </w:r>
      <w:r>
        <w:rPr>
          <w:rFonts w:ascii="Arial" w:hAnsi="Arial" w:cs="Arial"/>
          <w:sz w:val="20"/>
          <w:szCs w:val="20"/>
        </w:rPr>
        <w:t xml:space="preserve"> es de $ 0.00.</w:t>
      </w:r>
    </w:p>
    <w:p w14:paraId="5D9FAB5B"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14:paraId="517DABC8" w14:textId="5180DDA2"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w:t>
      </w:r>
      <w:r w:rsidR="004571E7" w:rsidRPr="00046B59">
        <w:rPr>
          <w:rFonts w:ascii="Arial" w:hAnsi="Arial" w:cs="Arial"/>
          <w:sz w:val="20"/>
          <w:szCs w:val="20"/>
        </w:rPr>
        <w:t xml:space="preserve">$ </w:t>
      </w:r>
      <w:r w:rsidR="00B1166C">
        <w:rPr>
          <w:rFonts w:ascii="Arial" w:hAnsi="Arial" w:cs="Arial"/>
          <w:sz w:val="20"/>
          <w:szCs w:val="20"/>
        </w:rPr>
        <w:t>5,707,727.17</w:t>
      </w:r>
      <w:r w:rsidR="00806B91">
        <w:rPr>
          <w:rFonts w:ascii="Arial" w:hAnsi="Arial" w:cs="Arial"/>
          <w:sz w:val="20"/>
          <w:szCs w:val="20"/>
        </w:rPr>
        <w:t>,</w:t>
      </w:r>
      <w:r w:rsidRPr="00E62429">
        <w:rPr>
          <w:rFonts w:ascii="Arial" w:hAnsi="Arial" w:cs="Arial"/>
          <w:sz w:val="20"/>
          <w:szCs w:val="20"/>
        </w:rPr>
        <w:t xml:space="preserve"> y su plazo es indefinido o hasta agotar su saldo.</w:t>
      </w:r>
    </w:p>
    <w:p w14:paraId="5D33FCCF"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14:paraId="2E76734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14:paraId="11316215"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14:paraId="2E8C79B3" w14:textId="59AD11ED"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El sistema </w:t>
      </w:r>
      <w:r w:rsidR="00F96222">
        <w:rPr>
          <w:rFonts w:ascii="Arial" w:hAnsi="Arial" w:cs="Arial"/>
          <w:sz w:val="20"/>
          <w:szCs w:val="20"/>
        </w:rPr>
        <w:t>S4H</w:t>
      </w:r>
      <w:r w:rsidRPr="00E62429">
        <w:rPr>
          <w:rFonts w:ascii="Arial" w:hAnsi="Arial" w:cs="Arial"/>
          <w:sz w:val="20"/>
          <w:szCs w:val="20"/>
        </w:rPr>
        <w:t xml:space="preserve">,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14:paraId="5E259919"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14:paraId="2D5750D9" w14:textId="54E1AEFD"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Universidad ha depurado algunas cuentas, siempre y cuando el saldo no sea significativo por lo regular menor </w:t>
      </w:r>
      <w:r>
        <w:rPr>
          <w:rFonts w:ascii="Arial" w:hAnsi="Arial" w:cs="Arial"/>
          <w:sz w:val="20"/>
          <w:szCs w:val="20"/>
        </w:rPr>
        <w:t xml:space="preserve">a </w:t>
      </w:r>
      <w:r w:rsidRPr="00046B59">
        <w:rPr>
          <w:rFonts w:ascii="Arial" w:hAnsi="Arial" w:cs="Arial"/>
          <w:sz w:val="20"/>
          <w:szCs w:val="20"/>
        </w:rPr>
        <w:t>$ 1,000.00</w:t>
      </w:r>
      <w:r>
        <w:rPr>
          <w:rFonts w:ascii="Arial" w:hAnsi="Arial" w:cs="Arial"/>
          <w:sz w:val="20"/>
          <w:szCs w:val="20"/>
        </w:rPr>
        <w:t xml:space="preserve"> y una vez agotado </w:t>
      </w:r>
      <w:r w:rsidRPr="00E62429">
        <w:rPr>
          <w:rFonts w:ascii="Arial" w:hAnsi="Arial" w:cs="Arial"/>
          <w:sz w:val="20"/>
          <w:szCs w:val="20"/>
        </w:rPr>
        <w:t>los procesos internos.</w:t>
      </w:r>
    </w:p>
    <w:p w14:paraId="1A95C807"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7F2774E7"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14:paraId="27BCC33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0F9B0F26"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14:paraId="4AA0CE5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1617C508"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14:paraId="28EE81F3"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60FC0A09"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d) Tipo de cambio</w:t>
      </w:r>
    </w:p>
    <w:p w14:paraId="4019F56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14:paraId="3EE84D1B"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14:paraId="70E2D2BB"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14:paraId="48BB4C8A"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14:paraId="7102FC4B" w14:textId="354B322B"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p>
    <w:p w14:paraId="77794A12"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14:paraId="031B97BE"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14:paraId="54990999"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bookmarkStart w:id="0" w:name="_GoBack"/>
      <w:bookmarkEnd w:id="0"/>
    </w:p>
    <w:p w14:paraId="0E12078E"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14:paraId="64B89C50" w14:textId="57E9023F"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De conformidad con la norma de CONAC y los alcances del SIHP, actualmente solo pueden considerarse las 40 clases de activos vigentes que se manejan en el sistema </w:t>
      </w:r>
      <w:r w:rsidR="00DB6CDF">
        <w:rPr>
          <w:rFonts w:ascii="Arial" w:hAnsi="Arial" w:cs="Arial"/>
          <w:sz w:val="20"/>
          <w:szCs w:val="20"/>
        </w:rPr>
        <w:t>S4H</w:t>
      </w:r>
      <w:r w:rsidRPr="00E62429">
        <w:rPr>
          <w:rFonts w:ascii="Arial" w:hAnsi="Arial" w:cs="Arial"/>
          <w:sz w:val="20"/>
          <w:szCs w:val="20"/>
        </w:rPr>
        <w:t>.</w:t>
      </w:r>
    </w:p>
    <w:p w14:paraId="19519F14" w14:textId="77777777" w:rsidR="00F74FCD" w:rsidRPr="00F54CF0"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c) Importe de los gastos capitalizados en el ejercicio, tanto financieros como de investigación y </w:t>
      </w:r>
      <w:r w:rsidRPr="00F54CF0">
        <w:rPr>
          <w:rFonts w:ascii="Arial" w:hAnsi="Arial" w:cs="Arial"/>
          <w:b/>
          <w:sz w:val="20"/>
          <w:szCs w:val="20"/>
        </w:rPr>
        <w:t>desarrollo:</w:t>
      </w:r>
    </w:p>
    <w:p w14:paraId="6B5078F6" w14:textId="1E5CDD1C" w:rsidR="00F74FCD" w:rsidRPr="00F54CF0" w:rsidRDefault="00F74FCD" w:rsidP="00F74FCD">
      <w:pPr>
        <w:spacing w:after="100" w:afterAutospacing="1"/>
        <w:jc w:val="both"/>
        <w:rPr>
          <w:rFonts w:ascii="Arial" w:hAnsi="Arial" w:cs="Arial"/>
          <w:sz w:val="20"/>
          <w:szCs w:val="20"/>
        </w:rPr>
      </w:pPr>
      <w:r w:rsidRPr="00F54CF0">
        <w:rPr>
          <w:rFonts w:ascii="Arial" w:hAnsi="Arial" w:cs="Arial"/>
          <w:sz w:val="20"/>
          <w:szCs w:val="20"/>
        </w:rPr>
        <w:t xml:space="preserve">Capitalización ingresos propios                 </w:t>
      </w:r>
      <w:r w:rsidR="005A2F9E" w:rsidRPr="00F54CF0">
        <w:rPr>
          <w:rFonts w:ascii="Arial" w:hAnsi="Arial" w:cs="Arial"/>
          <w:sz w:val="20"/>
          <w:szCs w:val="20"/>
        </w:rPr>
        <w:t>75,016.00</w:t>
      </w:r>
    </w:p>
    <w:p w14:paraId="093D6623" w14:textId="7E1689FB" w:rsidR="00F74FCD" w:rsidRDefault="000F4A11" w:rsidP="00F74FCD">
      <w:pPr>
        <w:spacing w:after="100" w:afterAutospacing="1"/>
        <w:jc w:val="both"/>
        <w:rPr>
          <w:rFonts w:ascii="Arial" w:hAnsi="Arial" w:cs="Arial"/>
          <w:sz w:val="20"/>
          <w:szCs w:val="20"/>
        </w:rPr>
      </w:pPr>
      <w:r w:rsidRPr="00F54CF0">
        <w:rPr>
          <w:rFonts w:ascii="Arial" w:hAnsi="Arial" w:cs="Arial"/>
          <w:sz w:val="20"/>
          <w:szCs w:val="20"/>
        </w:rPr>
        <w:t>Capitalizaciones remanentes</w:t>
      </w:r>
      <w:r w:rsidR="00F74FCD" w:rsidRPr="00F54CF0">
        <w:rPr>
          <w:rFonts w:ascii="Arial" w:hAnsi="Arial" w:cs="Arial"/>
          <w:sz w:val="20"/>
          <w:szCs w:val="20"/>
        </w:rPr>
        <w:t xml:space="preserve"> propios            </w:t>
      </w:r>
      <w:r w:rsidR="00F54CF0" w:rsidRPr="00F54CF0">
        <w:rPr>
          <w:rFonts w:ascii="Arial" w:hAnsi="Arial" w:cs="Arial"/>
          <w:sz w:val="20"/>
          <w:szCs w:val="20"/>
        </w:rPr>
        <w:t>234,601.86</w:t>
      </w:r>
    </w:p>
    <w:p w14:paraId="13840E6E"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14:paraId="4C2A50E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14:paraId="0E6E7793"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14:paraId="3EEE0B15" w14:textId="7A8094E3" w:rsidR="00F74FCD" w:rsidRPr="00935718" w:rsidRDefault="00F74FCD" w:rsidP="00F74FCD">
      <w:pPr>
        <w:spacing w:after="100" w:afterAutospacing="1"/>
        <w:jc w:val="both"/>
        <w:rPr>
          <w:rFonts w:ascii="Arial" w:hAnsi="Arial" w:cs="Arial"/>
          <w:sz w:val="20"/>
          <w:szCs w:val="20"/>
        </w:rPr>
      </w:pPr>
      <w:r w:rsidRPr="00682F2F">
        <w:rPr>
          <w:rFonts w:ascii="Arial" w:hAnsi="Arial" w:cs="Arial"/>
          <w:sz w:val="20"/>
          <w:szCs w:val="20"/>
        </w:rPr>
        <w:t>Construcción del Gimnasio Auditorio (Tercera Etapa</w:t>
      </w:r>
      <w:r>
        <w:rPr>
          <w:rFonts w:ascii="Arial" w:hAnsi="Arial" w:cs="Arial"/>
          <w:sz w:val="20"/>
          <w:szCs w:val="20"/>
        </w:rPr>
        <w:t xml:space="preserve"> y obra exterior</w:t>
      </w:r>
      <w:r w:rsidR="004571E7">
        <w:rPr>
          <w:rFonts w:ascii="Arial" w:hAnsi="Arial" w:cs="Arial"/>
          <w:sz w:val="20"/>
          <w:szCs w:val="20"/>
        </w:rPr>
        <w:t>) 0.00</w:t>
      </w:r>
    </w:p>
    <w:p w14:paraId="4D2C05CF"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2CE7C69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52BA7A60"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14:paraId="56F5A7D0" w14:textId="77777777"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14:paraId="2933C8D4"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14:paraId="42AC46EE"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14:paraId="6629F119"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14:paraId="721347B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14:paraId="68B30614"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36FD1BF0"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a) Inversiones en valores:</w:t>
      </w:r>
    </w:p>
    <w:p w14:paraId="2725848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655A0DAD"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14:paraId="4ACB8F7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7E4CD951"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14:paraId="7DDE54D1" w14:textId="50550CA5"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5568E03E"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d) Inversiones en empresas de participación minoritaria:</w:t>
      </w:r>
    </w:p>
    <w:p w14:paraId="336F905A"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5A01A0C3" w14:textId="77777777" w:rsidR="00F74FCD" w:rsidRPr="00D2728C" w:rsidRDefault="00F74FCD" w:rsidP="00F74FC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F74FCD" w:rsidRPr="00E62429" w14:paraId="34ED9C35" w14:textId="77777777" w:rsidTr="00240D41">
        <w:tc>
          <w:tcPr>
            <w:tcW w:w="2992" w:type="dxa"/>
            <w:shd w:val="clear" w:color="auto" w:fill="auto"/>
          </w:tcPr>
          <w:p w14:paraId="0B815167" w14:textId="77777777" w:rsidR="00F74FCD" w:rsidRPr="00E62429" w:rsidRDefault="00F74FCD" w:rsidP="00240D41">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14:paraId="7B1C99DB" w14:textId="3A58538E" w:rsidR="00F74FCD" w:rsidRPr="00E62429" w:rsidRDefault="00F74FCD" w:rsidP="00240D41">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DICIEMBRE DE 202</w:t>
            </w:r>
            <w:r w:rsidR="001B250F">
              <w:rPr>
                <w:rFonts w:ascii="Arial" w:hAnsi="Arial" w:cs="Arial"/>
                <w:b/>
                <w:sz w:val="20"/>
                <w:szCs w:val="20"/>
              </w:rPr>
              <w:t>3</w:t>
            </w:r>
          </w:p>
        </w:tc>
        <w:tc>
          <w:tcPr>
            <w:tcW w:w="2993" w:type="dxa"/>
          </w:tcPr>
          <w:p w14:paraId="134764AA" w14:textId="5875ABA0" w:rsidR="00F74FCD" w:rsidRPr="00E62429" w:rsidRDefault="00F74FCD" w:rsidP="00240D41">
            <w:pPr>
              <w:spacing w:after="100" w:afterAutospacing="1"/>
              <w:jc w:val="center"/>
              <w:rPr>
                <w:rFonts w:ascii="Arial" w:hAnsi="Arial" w:cs="Arial"/>
                <w:b/>
                <w:sz w:val="20"/>
                <w:szCs w:val="20"/>
              </w:rPr>
            </w:pPr>
            <w:r>
              <w:rPr>
                <w:rFonts w:ascii="Arial" w:hAnsi="Arial" w:cs="Arial"/>
                <w:b/>
                <w:sz w:val="20"/>
                <w:szCs w:val="20"/>
              </w:rPr>
              <w:t>SALDO AL 3</w:t>
            </w:r>
            <w:r w:rsidR="00E27E58">
              <w:rPr>
                <w:rFonts w:ascii="Arial" w:hAnsi="Arial" w:cs="Arial"/>
                <w:b/>
                <w:sz w:val="20"/>
                <w:szCs w:val="20"/>
              </w:rPr>
              <w:t>1</w:t>
            </w:r>
            <w:r w:rsidRPr="00E62429">
              <w:rPr>
                <w:rFonts w:ascii="Arial" w:hAnsi="Arial" w:cs="Arial"/>
                <w:b/>
                <w:sz w:val="20"/>
                <w:szCs w:val="20"/>
              </w:rPr>
              <w:t xml:space="preserve"> DE</w:t>
            </w:r>
            <w:r>
              <w:rPr>
                <w:rFonts w:ascii="Arial" w:hAnsi="Arial" w:cs="Arial"/>
                <w:b/>
                <w:sz w:val="20"/>
                <w:szCs w:val="20"/>
              </w:rPr>
              <w:t xml:space="preserve"> </w:t>
            </w:r>
            <w:r w:rsidR="001B250F">
              <w:rPr>
                <w:rFonts w:ascii="Arial" w:hAnsi="Arial" w:cs="Arial"/>
                <w:b/>
                <w:sz w:val="20"/>
                <w:szCs w:val="20"/>
              </w:rPr>
              <w:t>MARZO</w:t>
            </w:r>
            <w:r>
              <w:rPr>
                <w:rFonts w:ascii="Arial" w:hAnsi="Arial" w:cs="Arial"/>
                <w:b/>
                <w:sz w:val="20"/>
                <w:szCs w:val="20"/>
              </w:rPr>
              <w:t xml:space="preserve"> DE 202</w:t>
            </w:r>
            <w:r w:rsidR="001B250F">
              <w:rPr>
                <w:rFonts w:ascii="Arial" w:hAnsi="Arial" w:cs="Arial"/>
                <w:b/>
                <w:sz w:val="20"/>
                <w:szCs w:val="20"/>
              </w:rPr>
              <w:t>4</w:t>
            </w:r>
          </w:p>
        </w:tc>
      </w:tr>
      <w:tr w:rsidR="00F74FCD" w:rsidRPr="00E62429" w14:paraId="1CE8D186" w14:textId="77777777" w:rsidTr="00240D41">
        <w:tc>
          <w:tcPr>
            <w:tcW w:w="2992" w:type="dxa"/>
            <w:shd w:val="clear" w:color="auto" w:fill="auto"/>
          </w:tcPr>
          <w:p w14:paraId="1A8E7DEA" w14:textId="77777777" w:rsidR="00F74FCD" w:rsidRPr="00E62429" w:rsidRDefault="00F74FCD" w:rsidP="00240D41">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14:paraId="6781399F" w14:textId="4F609CF0" w:rsidR="00F74FCD" w:rsidRPr="00B82081" w:rsidRDefault="001B250F" w:rsidP="00240D41">
            <w:pPr>
              <w:spacing w:after="100" w:afterAutospacing="1"/>
              <w:jc w:val="right"/>
              <w:rPr>
                <w:rFonts w:ascii="Arial" w:hAnsi="Arial" w:cs="Arial"/>
                <w:sz w:val="20"/>
                <w:szCs w:val="20"/>
                <w:highlight w:val="yellow"/>
              </w:rPr>
            </w:pPr>
            <w:r w:rsidRPr="001B250F">
              <w:rPr>
                <w:rFonts w:ascii="Arial" w:hAnsi="Arial" w:cs="Arial"/>
                <w:sz w:val="20"/>
                <w:szCs w:val="20"/>
              </w:rPr>
              <w:t>78,361,430.49</w:t>
            </w:r>
          </w:p>
        </w:tc>
        <w:tc>
          <w:tcPr>
            <w:tcW w:w="2993" w:type="dxa"/>
          </w:tcPr>
          <w:p w14:paraId="638C6AC4" w14:textId="0BDE7A29" w:rsidR="00F74FCD" w:rsidRPr="00B82081" w:rsidRDefault="00050828" w:rsidP="00240D41">
            <w:pPr>
              <w:spacing w:after="100" w:afterAutospacing="1"/>
              <w:jc w:val="right"/>
              <w:rPr>
                <w:rFonts w:ascii="Arial" w:hAnsi="Arial" w:cs="Arial"/>
                <w:sz w:val="20"/>
                <w:szCs w:val="20"/>
                <w:highlight w:val="yellow"/>
              </w:rPr>
            </w:pPr>
            <w:r w:rsidRPr="001B250F">
              <w:rPr>
                <w:rFonts w:ascii="Arial" w:hAnsi="Arial" w:cs="Arial"/>
                <w:sz w:val="20"/>
                <w:szCs w:val="20"/>
              </w:rPr>
              <w:t>7</w:t>
            </w:r>
            <w:r w:rsidR="002C5312" w:rsidRPr="001B250F">
              <w:rPr>
                <w:rFonts w:ascii="Arial" w:hAnsi="Arial" w:cs="Arial"/>
                <w:sz w:val="20"/>
                <w:szCs w:val="20"/>
              </w:rPr>
              <w:t>8,</w:t>
            </w:r>
            <w:r w:rsidR="001B250F" w:rsidRPr="001B250F">
              <w:rPr>
                <w:rFonts w:ascii="Arial" w:hAnsi="Arial" w:cs="Arial"/>
                <w:sz w:val="20"/>
                <w:szCs w:val="20"/>
              </w:rPr>
              <w:t>830,488.68</w:t>
            </w:r>
          </w:p>
        </w:tc>
      </w:tr>
      <w:tr w:rsidR="00F74FCD" w:rsidRPr="00E62429" w14:paraId="10F2D261" w14:textId="77777777" w:rsidTr="00240D41">
        <w:tc>
          <w:tcPr>
            <w:tcW w:w="2992" w:type="dxa"/>
            <w:shd w:val="clear" w:color="auto" w:fill="auto"/>
          </w:tcPr>
          <w:p w14:paraId="2ABABFDF" w14:textId="77777777" w:rsidR="00F74FCD" w:rsidRPr="00E62429" w:rsidRDefault="00F74FCD" w:rsidP="00240D41">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14:paraId="595F9EB5" w14:textId="0C621E9B" w:rsidR="00F74FCD" w:rsidRPr="00B82081" w:rsidRDefault="00F74FCD" w:rsidP="00240D41">
            <w:pPr>
              <w:spacing w:after="100" w:afterAutospacing="1"/>
              <w:jc w:val="right"/>
              <w:rPr>
                <w:rFonts w:ascii="Arial" w:hAnsi="Arial" w:cs="Arial"/>
                <w:sz w:val="20"/>
                <w:szCs w:val="20"/>
                <w:highlight w:val="yellow"/>
              </w:rPr>
            </w:pPr>
            <w:r w:rsidRPr="001B250F">
              <w:rPr>
                <w:rFonts w:ascii="Arial" w:hAnsi="Arial" w:cs="Arial"/>
                <w:sz w:val="20"/>
                <w:szCs w:val="20"/>
              </w:rPr>
              <w:t>98’157,471</w:t>
            </w:r>
            <w:r w:rsidR="00E62484">
              <w:rPr>
                <w:rFonts w:ascii="Arial" w:hAnsi="Arial" w:cs="Arial"/>
                <w:sz w:val="20"/>
                <w:szCs w:val="20"/>
              </w:rPr>
              <w:t>.32</w:t>
            </w:r>
          </w:p>
        </w:tc>
        <w:tc>
          <w:tcPr>
            <w:tcW w:w="2993" w:type="dxa"/>
          </w:tcPr>
          <w:p w14:paraId="445877A5" w14:textId="59A46371" w:rsidR="00F74FCD" w:rsidRPr="00B82081" w:rsidRDefault="00E62484" w:rsidP="00240D41">
            <w:pPr>
              <w:spacing w:after="100" w:afterAutospacing="1"/>
              <w:jc w:val="right"/>
              <w:rPr>
                <w:rFonts w:ascii="Arial" w:hAnsi="Arial" w:cs="Arial"/>
                <w:sz w:val="20"/>
                <w:szCs w:val="20"/>
                <w:highlight w:val="yellow"/>
              </w:rPr>
            </w:pPr>
            <w:r w:rsidRPr="00E62484">
              <w:rPr>
                <w:rFonts w:ascii="Arial" w:hAnsi="Arial" w:cs="Arial"/>
                <w:sz w:val="20"/>
                <w:szCs w:val="20"/>
              </w:rPr>
              <w:t>98,157,471.32</w:t>
            </w:r>
          </w:p>
        </w:tc>
      </w:tr>
    </w:tbl>
    <w:p w14:paraId="20D07084" w14:textId="3AD496CD" w:rsidR="00F74FCD" w:rsidRDefault="00F74FCD" w:rsidP="00F74FCD">
      <w:pPr>
        <w:spacing w:after="100" w:afterAutospacing="1"/>
        <w:jc w:val="both"/>
        <w:rPr>
          <w:rFonts w:ascii="Arial" w:hAnsi="Arial" w:cs="Arial"/>
          <w:sz w:val="20"/>
          <w:szCs w:val="20"/>
        </w:rPr>
      </w:pPr>
      <w:r>
        <w:rPr>
          <w:rFonts w:ascii="Arial" w:hAnsi="Arial" w:cs="Arial"/>
          <w:sz w:val="20"/>
          <w:szCs w:val="20"/>
        </w:rPr>
        <w:t xml:space="preserve">Cabe hacer mención </w:t>
      </w:r>
      <w:r w:rsidR="003F1301">
        <w:rPr>
          <w:rFonts w:ascii="Arial" w:hAnsi="Arial" w:cs="Arial"/>
          <w:sz w:val="20"/>
          <w:szCs w:val="20"/>
        </w:rPr>
        <w:t>que,</w:t>
      </w:r>
      <w:r>
        <w:rPr>
          <w:rFonts w:ascii="Arial" w:hAnsi="Arial" w:cs="Arial"/>
          <w:sz w:val="20"/>
          <w:szCs w:val="20"/>
        </w:rPr>
        <w:t xml:space="preserve"> a </w:t>
      </w:r>
      <w:r w:rsidR="003F1301">
        <w:rPr>
          <w:rFonts w:ascii="Arial" w:hAnsi="Arial" w:cs="Arial"/>
          <w:sz w:val="20"/>
          <w:szCs w:val="20"/>
        </w:rPr>
        <w:t>esta</w:t>
      </w:r>
      <w:r w:rsidRPr="00E62429">
        <w:rPr>
          <w:rFonts w:ascii="Arial" w:hAnsi="Arial" w:cs="Arial"/>
          <w:sz w:val="20"/>
          <w:szCs w:val="20"/>
        </w:rPr>
        <w:t xml:space="preserve"> fecha, está pendiente de realizar la desincorporación de la Universidad Tecnol</w:t>
      </w:r>
      <w:r>
        <w:rPr>
          <w:rFonts w:ascii="Arial" w:hAnsi="Arial" w:cs="Arial"/>
          <w:sz w:val="20"/>
          <w:szCs w:val="20"/>
        </w:rPr>
        <w:t>ógica de San Miguel de Allende</w:t>
      </w:r>
    </w:p>
    <w:p w14:paraId="3E290029"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5F7EDBA" w14:textId="5FA807FF" w:rsidR="003F1301" w:rsidRDefault="003F1301" w:rsidP="003F1301">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14:paraId="4C47A91D" w14:textId="742F9174" w:rsidR="00457E05" w:rsidRDefault="00457E05" w:rsidP="003F1301">
      <w:pPr>
        <w:spacing w:after="100" w:afterAutospacing="1"/>
        <w:jc w:val="both"/>
        <w:rPr>
          <w:rFonts w:ascii="Arial" w:hAnsi="Arial" w:cs="Arial"/>
          <w:sz w:val="20"/>
          <w:szCs w:val="20"/>
        </w:rPr>
      </w:pPr>
    </w:p>
    <w:p w14:paraId="5FEBF9C3" w14:textId="77777777" w:rsidR="00457E05" w:rsidRPr="00E62429" w:rsidRDefault="00457E05" w:rsidP="003F1301">
      <w:pPr>
        <w:spacing w:after="100" w:afterAutospacing="1"/>
        <w:jc w:val="both"/>
        <w:rPr>
          <w:rFonts w:ascii="Arial" w:hAnsi="Arial" w:cs="Arial"/>
          <w:sz w:val="20"/>
          <w:szCs w:val="20"/>
        </w:rPr>
      </w:pPr>
    </w:p>
    <w:p w14:paraId="5367C153"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14:paraId="765C3E7B" w14:textId="51338A2A" w:rsidR="003F1301" w:rsidRPr="00E62429" w:rsidRDefault="003F1301" w:rsidP="003F1301">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BD5D8B6"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14:paraId="65E7AAD6" w14:textId="5541ECE9"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Pr>
          <w:rFonts w:ascii="Arial" w:hAnsi="Arial" w:cs="Arial"/>
          <w:sz w:val="20"/>
          <w:szCs w:val="20"/>
        </w:rPr>
        <w:t>3</w:t>
      </w:r>
      <w:r w:rsidR="00B82081">
        <w:rPr>
          <w:rFonts w:ascii="Arial" w:hAnsi="Arial" w:cs="Arial"/>
          <w:sz w:val="20"/>
          <w:szCs w:val="20"/>
        </w:rPr>
        <w:t>1</w:t>
      </w:r>
      <w:r w:rsidRPr="00E62429">
        <w:rPr>
          <w:rFonts w:ascii="Arial" w:hAnsi="Arial" w:cs="Arial"/>
          <w:sz w:val="20"/>
          <w:szCs w:val="20"/>
        </w:rPr>
        <w:t xml:space="preserve"> de </w:t>
      </w:r>
      <w:r w:rsidR="00B82081">
        <w:rPr>
          <w:rFonts w:ascii="Arial" w:hAnsi="Arial" w:cs="Arial"/>
          <w:sz w:val="20"/>
          <w:szCs w:val="20"/>
        </w:rPr>
        <w:t>marzo</w:t>
      </w:r>
      <w:r w:rsidRPr="00E62429">
        <w:rPr>
          <w:rFonts w:ascii="Arial" w:hAnsi="Arial" w:cs="Arial"/>
          <w:sz w:val="20"/>
          <w:szCs w:val="20"/>
        </w:rPr>
        <w:t xml:space="preserve"> ascienden a un importe de:</w:t>
      </w:r>
    </w:p>
    <w:p w14:paraId="0391C317" w14:textId="46C0C382" w:rsidR="003F1301" w:rsidRPr="00233EED" w:rsidRDefault="003F1301" w:rsidP="003F1301">
      <w:pPr>
        <w:spacing w:after="100" w:afterAutospacing="1"/>
        <w:jc w:val="both"/>
        <w:rPr>
          <w:rFonts w:ascii="Arial" w:hAnsi="Arial" w:cs="Arial"/>
          <w:sz w:val="20"/>
          <w:szCs w:val="20"/>
        </w:rPr>
      </w:pPr>
      <w:r w:rsidRPr="00233EED">
        <w:rPr>
          <w:rFonts w:ascii="Arial" w:hAnsi="Arial" w:cs="Arial"/>
          <w:sz w:val="20"/>
          <w:szCs w:val="20"/>
        </w:rPr>
        <w:t xml:space="preserve">Federal                     </w:t>
      </w:r>
      <w:r w:rsidR="00233EED" w:rsidRPr="00233EED">
        <w:rPr>
          <w:rFonts w:ascii="Arial" w:hAnsi="Arial" w:cs="Arial"/>
          <w:sz w:val="20"/>
          <w:szCs w:val="20"/>
        </w:rPr>
        <w:t>20,409,676.00</w:t>
      </w:r>
      <w:r w:rsidRPr="00233EED">
        <w:rPr>
          <w:rFonts w:ascii="Arial" w:hAnsi="Arial" w:cs="Arial"/>
          <w:sz w:val="20"/>
          <w:szCs w:val="20"/>
        </w:rPr>
        <w:tab/>
      </w:r>
      <w:r w:rsidRPr="00233EED">
        <w:rPr>
          <w:rFonts w:ascii="Arial" w:hAnsi="Arial" w:cs="Arial"/>
          <w:sz w:val="20"/>
          <w:szCs w:val="20"/>
        </w:rPr>
        <w:tab/>
      </w:r>
      <w:r w:rsidRPr="00233EED">
        <w:rPr>
          <w:rFonts w:ascii="Arial" w:hAnsi="Arial" w:cs="Arial"/>
          <w:sz w:val="20"/>
          <w:szCs w:val="20"/>
        </w:rPr>
        <w:tab/>
      </w:r>
      <w:r w:rsidRPr="00233EED">
        <w:rPr>
          <w:rFonts w:ascii="Arial" w:hAnsi="Arial" w:cs="Arial"/>
          <w:sz w:val="20"/>
          <w:szCs w:val="20"/>
        </w:rPr>
        <w:tab/>
      </w:r>
      <w:r w:rsidRPr="00233EED">
        <w:rPr>
          <w:rFonts w:ascii="Arial" w:hAnsi="Arial" w:cs="Arial"/>
          <w:sz w:val="20"/>
          <w:szCs w:val="20"/>
        </w:rPr>
        <w:tab/>
      </w:r>
      <w:r w:rsidRPr="00233EED">
        <w:rPr>
          <w:rFonts w:ascii="Arial" w:hAnsi="Arial" w:cs="Arial"/>
          <w:sz w:val="20"/>
          <w:szCs w:val="20"/>
        </w:rPr>
        <w:tab/>
      </w:r>
      <w:r w:rsidRPr="00233EED">
        <w:rPr>
          <w:rFonts w:ascii="Arial" w:hAnsi="Arial" w:cs="Arial"/>
          <w:sz w:val="20"/>
          <w:szCs w:val="20"/>
        </w:rPr>
        <w:tab/>
      </w:r>
      <w:r w:rsidRPr="00233EED">
        <w:rPr>
          <w:rFonts w:ascii="Arial" w:hAnsi="Arial" w:cs="Arial"/>
          <w:sz w:val="20"/>
          <w:szCs w:val="20"/>
        </w:rPr>
        <w:tab/>
      </w:r>
      <w:r w:rsidRPr="00233EED">
        <w:rPr>
          <w:rFonts w:ascii="Arial" w:hAnsi="Arial" w:cs="Arial"/>
          <w:sz w:val="20"/>
          <w:szCs w:val="20"/>
        </w:rPr>
        <w:tab/>
      </w:r>
      <w:r w:rsidRPr="00233EED">
        <w:rPr>
          <w:rFonts w:ascii="Arial" w:hAnsi="Arial" w:cs="Arial"/>
          <w:sz w:val="20"/>
          <w:szCs w:val="20"/>
        </w:rPr>
        <w:tab/>
      </w:r>
      <w:r w:rsidRPr="00233EED">
        <w:rPr>
          <w:rFonts w:ascii="Arial" w:hAnsi="Arial" w:cs="Arial"/>
          <w:sz w:val="20"/>
          <w:szCs w:val="20"/>
        </w:rPr>
        <w:tab/>
      </w:r>
      <w:r w:rsidRPr="00233EED">
        <w:rPr>
          <w:rFonts w:ascii="Arial" w:hAnsi="Arial" w:cs="Arial"/>
          <w:sz w:val="20"/>
          <w:szCs w:val="20"/>
        </w:rPr>
        <w:tab/>
      </w:r>
    </w:p>
    <w:p w14:paraId="09F5F9B0" w14:textId="6AF5E944" w:rsidR="003F1301" w:rsidRPr="00233EED" w:rsidRDefault="003F1301" w:rsidP="003F1301">
      <w:pPr>
        <w:spacing w:after="100" w:afterAutospacing="1"/>
        <w:jc w:val="both"/>
        <w:rPr>
          <w:rFonts w:ascii="Arial" w:hAnsi="Arial" w:cs="Arial"/>
          <w:sz w:val="20"/>
          <w:szCs w:val="20"/>
        </w:rPr>
      </w:pPr>
      <w:r w:rsidRPr="00233EED">
        <w:rPr>
          <w:rFonts w:ascii="Arial" w:hAnsi="Arial" w:cs="Arial"/>
          <w:sz w:val="20"/>
          <w:szCs w:val="20"/>
        </w:rPr>
        <w:t xml:space="preserve">Estatal                      </w:t>
      </w:r>
      <w:r w:rsidR="00402CFE" w:rsidRPr="00233EED">
        <w:rPr>
          <w:rFonts w:ascii="Arial" w:hAnsi="Arial" w:cs="Arial"/>
          <w:sz w:val="20"/>
          <w:szCs w:val="20"/>
        </w:rPr>
        <w:t xml:space="preserve"> </w:t>
      </w:r>
      <w:r w:rsidR="00233EED" w:rsidRPr="00233EED">
        <w:rPr>
          <w:rFonts w:ascii="Arial" w:hAnsi="Arial" w:cs="Arial"/>
          <w:sz w:val="20"/>
          <w:szCs w:val="20"/>
        </w:rPr>
        <w:t>3,989,944.55</w:t>
      </w:r>
      <w:r w:rsidR="001A0F50" w:rsidRPr="00233EED">
        <w:rPr>
          <w:rFonts w:ascii="Arial" w:hAnsi="Arial" w:cs="Arial"/>
          <w:sz w:val="20"/>
          <w:szCs w:val="20"/>
        </w:rPr>
        <w:t xml:space="preserve"> </w:t>
      </w:r>
    </w:p>
    <w:p w14:paraId="3C788E7C" w14:textId="63CE3509" w:rsidR="003F1301" w:rsidRDefault="003F1301" w:rsidP="003F1301">
      <w:pPr>
        <w:spacing w:after="100" w:afterAutospacing="1"/>
        <w:jc w:val="both"/>
        <w:rPr>
          <w:rFonts w:ascii="Arial" w:hAnsi="Arial" w:cs="Arial"/>
          <w:sz w:val="20"/>
          <w:szCs w:val="20"/>
        </w:rPr>
      </w:pPr>
      <w:r w:rsidRPr="00233EED">
        <w:rPr>
          <w:rFonts w:ascii="Arial" w:hAnsi="Arial" w:cs="Arial"/>
          <w:sz w:val="20"/>
          <w:szCs w:val="20"/>
        </w:rPr>
        <w:t xml:space="preserve">Ingresos Propios      </w:t>
      </w:r>
      <w:r w:rsidR="00402CFE" w:rsidRPr="00233EED">
        <w:rPr>
          <w:rFonts w:ascii="Arial" w:hAnsi="Arial" w:cs="Arial"/>
          <w:sz w:val="20"/>
          <w:szCs w:val="20"/>
        </w:rPr>
        <w:t xml:space="preserve"> </w:t>
      </w:r>
      <w:r w:rsidR="00233EED" w:rsidRPr="00233EED">
        <w:rPr>
          <w:rFonts w:ascii="Arial" w:hAnsi="Arial" w:cs="Arial"/>
          <w:sz w:val="20"/>
          <w:szCs w:val="20"/>
        </w:rPr>
        <w:t>2,119,451.32</w:t>
      </w:r>
      <w:r w:rsidR="001A0F50">
        <w:rPr>
          <w:rFonts w:ascii="Arial" w:hAnsi="Arial" w:cs="Arial"/>
          <w:sz w:val="20"/>
          <w:szCs w:val="20"/>
        </w:rPr>
        <w:t xml:space="preserve"> </w:t>
      </w:r>
    </w:p>
    <w:p w14:paraId="11BA0F66" w14:textId="3E23ED65" w:rsidR="00EF0C2E" w:rsidRPr="00EF0C2E" w:rsidRDefault="00EF0C2E" w:rsidP="00EF0C2E">
      <w:pPr>
        <w:spacing w:after="100" w:afterAutospacing="1"/>
        <w:jc w:val="both"/>
        <w:rPr>
          <w:rFonts w:ascii="Arial" w:hAnsi="Arial" w:cs="Arial"/>
          <w:sz w:val="20"/>
          <w:szCs w:val="20"/>
        </w:rPr>
      </w:pPr>
      <w:r>
        <w:rPr>
          <w:rFonts w:ascii="Arial" w:hAnsi="Arial" w:cs="Arial"/>
          <w:sz w:val="20"/>
          <w:szCs w:val="20"/>
        </w:rPr>
        <w:t>E</w:t>
      </w:r>
      <w:r w:rsidRPr="00EF0C2E">
        <w:rPr>
          <w:rFonts w:ascii="Arial" w:hAnsi="Arial" w:cs="Arial"/>
          <w:sz w:val="20"/>
          <w:szCs w:val="20"/>
        </w:rPr>
        <w:t>n el importe estatal se incluyen los subsidios por concepto de arrendamiento y monitoreo vehicular.</w:t>
      </w:r>
    </w:p>
    <w:p w14:paraId="29ED76E0" w14:textId="314B5F0F" w:rsidR="00EF0C2E" w:rsidRPr="00EF0C2E" w:rsidRDefault="00EF0C2E" w:rsidP="00EF0C2E">
      <w:pPr>
        <w:jc w:val="both"/>
        <w:rPr>
          <w:rFonts w:ascii="Arial" w:hAnsi="Arial" w:cs="Arial"/>
          <w:sz w:val="20"/>
          <w:szCs w:val="20"/>
        </w:rPr>
      </w:pPr>
      <w:r>
        <w:rPr>
          <w:rFonts w:ascii="Arial" w:hAnsi="Arial" w:cs="Arial"/>
          <w:sz w:val="20"/>
          <w:szCs w:val="20"/>
        </w:rPr>
        <w:t>E</w:t>
      </w:r>
      <w:r w:rsidRPr="00EF0C2E">
        <w:rPr>
          <w:rFonts w:ascii="Arial" w:hAnsi="Arial" w:cs="Arial"/>
          <w:sz w:val="20"/>
          <w:szCs w:val="20"/>
        </w:rPr>
        <w:t xml:space="preserve">n el monto de ingresos propios se incluye un importe por la cantidad de </w:t>
      </w:r>
      <w:r w:rsidR="00430B6A">
        <w:rPr>
          <w:rFonts w:ascii="Arial" w:hAnsi="Arial" w:cs="Arial"/>
          <w:sz w:val="20"/>
          <w:szCs w:val="20"/>
        </w:rPr>
        <w:t>$</w:t>
      </w:r>
      <w:r w:rsidR="006F6401">
        <w:rPr>
          <w:rFonts w:ascii="Arial" w:hAnsi="Arial" w:cs="Arial"/>
          <w:sz w:val="20"/>
          <w:szCs w:val="20"/>
        </w:rPr>
        <w:t xml:space="preserve"> 0.70</w:t>
      </w:r>
      <w:r w:rsidRPr="00EF0C2E">
        <w:rPr>
          <w:rFonts w:ascii="Arial" w:hAnsi="Arial" w:cs="Arial"/>
          <w:sz w:val="20"/>
          <w:szCs w:val="20"/>
        </w:rPr>
        <w:t xml:space="preserve"> de ingresos no presupuestales.</w:t>
      </w:r>
    </w:p>
    <w:p w14:paraId="0A8B6B3F" w14:textId="41485D6E"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Importes que están acordes con el pronóstic</w:t>
      </w:r>
      <w:r>
        <w:rPr>
          <w:rFonts w:ascii="Arial" w:hAnsi="Arial" w:cs="Arial"/>
          <w:sz w:val="20"/>
          <w:szCs w:val="20"/>
        </w:rPr>
        <w:t xml:space="preserve">o de ingresos de la Institución (no incluyen otros proyectos de origen federal y/o estatal). </w:t>
      </w:r>
    </w:p>
    <w:p w14:paraId="219E163F" w14:textId="77777777" w:rsidR="003F1301" w:rsidRPr="006F1DD8" w:rsidRDefault="003F1301" w:rsidP="003F1301">
      <w:pPr>
        <w:spacing w:after="100" w:afterAutospacing="1"/>
        <w:jc w:val="both"/>
        <w:rPr>
          <w:rFonts w:ascii="Arial" w:hAnsi="Arial" w:cs="Arial"/>
          <w:sz w:val="20"/>
          <w:szCs w:val="20"/>
        </w:rPr>
      </w:pPr>
      <w:r w:rsidRPr="00E62429">
        <w:rPr>
          <w:rFonts w:ascii="Arial" w:hAnsi="Arial" w:cs="Arial"/>
          <w:sz w:val="20"/>
          <w:szCs w:val="20"/>
        </w:rPr>
        <w:t xml:space="preserve">b) Proyección </w:t>
      </w:r>
      <w:r w:rsidRPr="006F1DD8">
        <w:rPr>
          <w:rFonts w:ascii="Arial" w:hAnsi="Arial" w:cs="Arial"/>
          <w:sz w:val="20"/>
          <w:szCs w:val="20"/>
        </w:rPr>
        <w:t>de la recaudación e ingresos en el mediano plazo:</w:t>
      </w:r>
    </w:p>
    <w:p w14:paraId="48C837DE" w14:textId="5C3D76E7" w:rsidR="003F1301" w:rsidRPr="000F3B7F" w:rsidRDefault="003F1301" w:rsidP="003F1301">
      <w:pPr>
        <w:spacing w:after="100" w:afterAutospacing="1"/>
        <w:jc w:val="both"/>
        <w:rPr>
          <w:rFonts w:ascii="Arial" w:hAnsi="Arial" w:cs="Arial"/>
          <w:sz w:val="20"/>
          <w:szCs w:val="20"/>
        </w:rPr>
      </w:pPr>
      <w:r w:rsidRPr="000F3B7F">
        <w:rPr>
          <w:rFonts w:ascii="Arial" w:hAnsi="Arial" w:cs="Arial"/>
          <w:sz w:val="20"/>
          <w:szCs w:val="20"/>
        </w:rPr>
        <w:t xml:space="preserve">Recaudado           </w:t>
      </w:r>
      <w:r w:rsidR="00447ED6" w:rsidRPr="000F3B7F">
        <w:rPr>
          <w:rFonts w:ascii="Arial" w:hAnsi="Arial" w:cs="Arial"/>
          <w:sz w:val="20"/>
          <w:szCs w:val="20"/>
        </w:rPr>
        <w:t>2,119,450.62</w:t>
      </w:r>
      <w:r w:rsidRPr="000F3B7F">
        <w:rPr>
          <w:rFonts w:ascii="Arial" w:hAnsi="Arial" w:cs="Arial"/>
          <w:sz w:val="20"/>
          <w:szCs w:val="20"/>
        </w:rPr>
        <w:tab/>
      </w:r>
      <w:r w:rsidRPr="000F3B7F">
        <w:rPr>
          <w:rFonts w:ascii="Arial" w:hAnsi="Arial" w:cs="Arial"/>
          <w:sz w:val="20"/>
          <w:szCs w:val="20"/>
        </w:rPr>
        <w:tab/>
      </w:r>
    </w:p>
    <w:p w14:paraId="44141657" w14:textId="2E64B236" w:rsidR="003F1301" w:rsidRPr="000F3B7F" w:rsidRDefault="003F1301" w:rsidP="003F1301">
      <w:pPr>
        <w:spacing w:after="100" w:afterAutospacing="1"/>
        <w:ind w:left="1416" w:hanging="1416"/>
        <w:jc w:val="both"/>
        <w:rPr>
          <w:rFonts w:ascii="Arial" w:hAnsi="Arial" w:cs="Arial"/>
          <w:sz w:val="20"/>
          <w:szCs w:val="20"/>
        </w:rPr>
      </w:pPr>
      <w:r w:rsidRPr="000F3B7F">
        <w:rPr>
          <w:rFonts w:ascii="Arial" w:hAnsi="Arial" w:cs="Arial"/>
          <w:sz w:val="20"/>
          <w:szCs w:val="20"/>
        </w:rPr>
        <w:t xml:space="preserve">Por recaudar         </w:t>
      </w:r>
      <w:r w:rsidR="000F3B7F" w:rsidRPr="000F3B7F">
        <w:rPr>
          <w:rFonts w:ascii="Arial" w:hAnsi="Arial" w:cs="Arial"/>
          <w:sz w:val="20"/>
          <w:szCs w:val="20"/>
        </w:rPr>
        <w:t>14,526,642.38</w:t>
      </w:r>
    </w:p>
    <w:p w14:paraId="51A9E783" w14:textId="7C295234" w:rsidR="003F1301" w:rsidRPr="000F3B7F" w:rsidRDefault="003F1301" w:rsidP="003F1301">
      <w:pPr>
        <w:spacing w:after="100" w:afterAutospacing="1"/>
        <w:jc w:val="both"/>
        <w:rPr>
          <w:rFonts w:ascii="Arial" w:hAnsi="Arial" w:cs="Arial"/>
          <w:sz w:val="20"/>
          <w:szCs w:val="20"/>
        </w:rPr>
      </w:pPr>
      <w:r w:rsidRPr="000F3B7F">
        <w:rPr>
          <w:rFonts w:ascii="Arial" w:hAnsi="Arial" w:cs="Arial"/>
          <w:sz w:val="20"/>
          <w:szCs w:val="20"/>
        </w:rPr>
        <w:t xml:space="preserve">Total                     </w:t>
      </w:r>
      <w:r w:rsidR="00377EA1" w:rsidRPr="000F3B7F">
        <w:rPr>
          <w:rFonts w:ascii="Arial" w:hAnsi="Arial" w:cs="Arial"/>
          <w:sz w:val="20"/>
          <w:szCs w:val="20"/>
        </w:rPr>
        <w:t xml:space="preserve"> </w:t>
      </w:r>
      <w:r w:rsidR="00E92198" w:rsidRPr="000F3B7F">
        <w:rPr>
          <w:rFonts w:ascii="Arial" w:hAnsi="Arial" w:cs="Arial"/>
          <w:sz w:val="20"/>
          <w:szCs w:val="20"/>
        </w:rPr>
        <w:t>1</w:t>
      </w:r>
      <w:r w:rsidR="000F3B7F" w:rsidRPr="000F3B7F">
        <w:rPr>
          <w:rFonts w:ascii="Arial" w:hAnsi="Arial" w:cs="Arial"/>
          <w:sz w:val="20"/>
          <w:szCs w:val="20"/>
        </w:rPr>
        <w:t>6,646,093.00</w:t>
      </w:r>
    </w:p>
    <w:p w14:paraId="7E23799B" w14:textId="15D972D3" w:rsidR="003F1301" w:rsidRDefault="003F1301" w:rsidP="003F1301">
      <w:pPr>
        <w:spacing w:after="100" w:afterAutospacing="1"/>
        <w:ind w:left="708" w:hanging="708"/>
        <w:jc w:val="both"/>
        <w:rPr>
          <w:rFonts w:ascii="Arial" w:hAnsi="Arial" w:cs="Arial"/>
          <w:sz w:val="20"/>
          <w:szCs w:val="20"/>
        </w:rPr>
      </w:pPr>
      <w:r w:rsidRPr="00447ED6">
        <w:rPr>
          <w:rFonts w:ascii="Arial" w:hAnsi="Arial" w:cs="Arial"/>
          <w:b/>
          <w:sz w:val="20"/>
          <w:szCs w:val="20"/>
        </w:rPr>
        <w:t xml:space="preserve">*Nota: </w:t>
      </w:r>
      <w:r w:rsidRPr="00447ED6">
        <w:rPr>
          <w:rFonts w:ascii="Arial" w:hAnsi="Arial" w:cs="Arial"/>
          <w:sz w:val="20"/>
          <w:szCs w:val="20"/>
        </w:rPr>
        <w:t xml:space="preserve">el pronóstico para </w:t>
      </w:r>
      <w:r w:rsidRPr="004F0B17">
        <w:rPr>
          <w:rFonts w:ascii="Arial" w:hAnsi="Arial" w:cs="Arial"/>
          <w:sz w:val="20"/>
          <w:szCs w:val="20"/>
        </w:rPr>
        <w:t>202</w:t>
      </w:r>
      <w:r w:rsidR="00447ED6" w:rsidRPr="004F0B17">
        <w:rPr>
          <w:rFonts w:ascii="Arial" w:hAnsi="Arial" w:cs="Arial"/>
          <w:sz w:val="20"/>
          <w:szCs w:val="20"/>
        </w:rPr>
        <w:t>4</w:t>
      </w:r>
      <w:r w:rsidRPr="004F0B17">
        <w:rPr>
          <w:rFonts w:ascii="Arial" w:hAnsi="Arial" w:cs="Arial"/>
          <w:sz w:val="20"/>
          <w:szCs w:val="20"/>
        </w:rPr>
        <w:t xml:space="preserve"> es de $</w:t>
      </w:r>
      <w:r w:rsidR="004F0B17">
        <w:rPr>
          <w:rFonts w:ascii="Arial" w:hAnsi="Arial" w:cs="Arial"/>
          <w:sz w:val="20"/>
          <w:szCs w:val="20"/>
        </w:rPr>
        <w:t xml:space="preserve"> </w:t>
      </w:r>
      <w:r w:rsidR="000F3B7F">
        <w:rPr>
          <w:rFonts w:ascii="Arial" w:hAnsi="Arial" w:cs="Arial"/>
          <w:sz w:val="20"/>
          <w:szCs w:val="20"/>
        </w:rPr>
        <w:t>16,646,093.00</w:t>
      </w:r>
      <w:r w:rsidR="000F3B7F" w:rsidRPr="004F0B17">
        <w:rPr>
          <w:rFonts w:ascii="Arial" w:hAnsi="Arial" w:cs="Arial"/>
          <w:sz w:val="20"/>
          <w:szCs w:val="20"/>
        </w:rPr>
        <w:t>,</w:t>
      </w:r>
      <w:r w:rsidRPr="004F0B17">
        <w:rPr>
          <w:rFonts w:ascii="Arial" w:hAnsi="Arial" w:cs="Arial"/>
          <w:sz w:val="20"/>
          <w:szCs w:val="20"/>
        </w:rPr>
        <w:t xml:space="preserve"> incluyendo</w:t>
      </w:r>
      <w:r w:rsidR="000F3B7F">
        <w:rPr>
          <w:rFonts w:ascii="Arial" w:hAnsi="Arial" w:cs="Arial"/>
          <w:sz w:val="20"/>
          <w:szCs w:val="20"/>
        </w:rPr>
        <w:t xml:space="preserve"> </w:t>
      </w:r>
      <w:r w:rsidR="000F4A11">
        <w:rPr>
          <w:rFonts w:ascii="Arial" w:hAnsi="Arial" w:cs="Arial"/>
          <w:sz w:val="20"/>
          <w:szCs w:val="20"/>
        </w:rPr>
        <w:t>el interés</w:t>
      </w:r>
      <w:r w:rsidR="000F3B7F">
        <w:rPr>
          <w:rFonts w:ascii="Arial" w:hAnsi="Arial" w:cs="Arial"/>
          <w:sz w:val="20"/>
          <w:szCs w:val="20"/>
        </w:rPr>
        <w:t xml:space="preserve"> de todas las cuentas bancarias y los</w:t>
      </w:r>
      <w:r>
        <w:rPr>
          <w:rFonts w:ascii="Arial" w:hAnsi="Arial" w:cs="Arial"/>
          <w:sz w:val="20"/>
          <w:szCs w:val="20"/>
        </w:rPr>
        <w:t xml:space="preserve"> conceptos de derechos educativos.</w:t>
      </w:r>
    </w:p>
    <w:p w14:paraId="14ECF88F"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62084C28"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informará lo siguiente:</w:t>
      </w:r>
    </w:p>
    <w:p w14:paraId="735E7BEF"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14:paraId="0AC58520"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No aplica.</w:t>
      </w:r>
    </w:p>
    <w:p w14:paraId="5690D57F"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14C1BD93" w14:textId="0D5B3DCF" w:rsidR="00FD5CE8"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p>
    <w:p w14:paraId="3E8C6D3A"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C4712C1"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14:paraId="3DA730EF"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14:paraId="5D5091FF"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76FDC15E"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informará de:</w:t>
      </w:r>
    </w:p>
    <w:p w14:paraId="7FF03C43"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14:paraId="3E44E621"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14:paraId="743D4957"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sigue el procedimiento de calidad en todo el proceso de contratación y compras desde su solicitud hasta el pago y resguardo de la documentación comprobatoria.</w:t>
      </w:r>
    </w:p>
    <w:p w14:paraId="6E338823"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14:paraId="49FA9888"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14:paraId="14F13F40" w14:textId="28AF39DF" w:rsidR="00F74FCD" w:rsidRDefault="003F1301" w:rsidP="003F1301">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p>
    <w:p w14:paraId="2D5B61C7" w14:textId="77777777" w:rsidR="00B41A42" w:rsidRPr="00E62429" w:rsidRDefault="00B41A42" w:rsidP="00B41A42">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5C2CA7D" w14:textId="77777777" w:rsidR="00B41A42" w:rsidRPr="00E62429" w:rsidRDefault="00B41A42" w:rsidP="00B41A42">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E229037" w14:textId="77777777" w:rsidR="001202DF" w:rsidRDefault="00B41A42" w:rsidP="00B41A42">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p>
    <w:p w14:paraId="654BF0A2" w14:textId="10350C39" w:rsidR="00B41A42" w:rsidRDefault="00B41A42" w:rsidP="00B41A42">
      <w:pPr>
        <w:spacing w:after="100" w:afterAutospacing="1"/>
        <w:jc w:val="both"/>
        <w:rPr>
          <w:rFonts w:ascii="Arial" w:hAnsi="Arial" w:cs="Arial"/>
          <w:sz w:val="20"/>
          <w:szCs w:val="20"/>
        </w:rPr>
      </w:pPr>
      <w:r w:rsidRPr="00E62429">
        <w:rPr>
          <w:rFonts w:ascii="Arial" w:hAnsi="Arial" w:cs="Arial"/>
          <w:sz w:val="20"/>
          <w:szCs w:val="20"/>
        </w:rPr>
        <w:tab/>
      </w:r>
    </w:p>
    <w:p w14:paraId="2FD385A6" w14:textId="77777777" w:rsidR="00B41A42" w:rsidRPr="00E62429" w:rsidRDefault="00B41A42" w:rsidP="00B41A42">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BCA6D64" w14:textId="62BB9FC1" w:rsidR="00B41A42" w:rsidRDefault="00B41A42" w:rsidP="00B41A42">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Pr>
          <w:rFonts w:ascii="Arial" w:hAnsi="Arial" w:cs="Arial"/>
          <w:sz w:val="20"/>
          <w:szCs w:val="20"/>
        </w:rPr>
        <w:t>.</w:t>
      </w:r>
    </w:p>
    <w:p w14:paraId="58AA9AAA" w14:textId="77777777" w:rsidR="00B41A42" w:rsidRPr="00E62429" w:rsidRDefault="00B41A42" w:rsidP="00B41A42">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3FC4539" w14:textId="77777777" w:rsidR="00B41A42" w:rsidRPr="00E62429" w:rsidRDefault="00B41A42" w:rsidP="00B41A42">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14:paraId="1FF870E7" w14:textId="26A41922" w:rsidR="00B41A42" w:rsidRDefault="00B41A42" w:rsidP="00B41A42">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r>
        <w:rPr>
          <w:rFonts w:ascii="Arial" w:hAnsi="Arial" w:cs="Arial"/>
          <w:sz w:val="20"/>
          <w:szCs w:val="20"/>
        </w:rPr>
        <w:t>.</w:t>
      </w:r>
    </w:p>
    <w:p w14:paraId="0064E853" w14:textId="3A3169C1" w:rsidR="00B41A42" w:rsidRDefault="00B41A42" w:rsidP="00B41A42">
      <w:pPr>
        <w:spacing w:after="100" w:afterAutospacing="1"/>
        <w:jc w:val="both"/>
        <w:rPr>
          <w:rFonts w:ascii="Arial" w:hAnsi="Arial" w:cs="Arial"/>
          <w:sz w:val="20"/>
          <w:szCs w:val="20"/>
        </w:rPr>
      </w:pPr>
    </w:p>
    <w:p w14:paraId="06A12FD9" w14:textId="77777777" w:rsidR="00B41A42" w:rsidRPr="00E62429" w:rsidRDefault="00B41A42" w:rsidP="00B41A42">
      <w:pPr>
        <w:spacing w:after="100" w:afterAutospacing="1"/>
        <w:jc w:val="both"/>
        <w:rPr>
          <w:rFonts w:ascii="Arial" w:hAnsi="Arial" w:cs="Arial"/>
          <w:sz w:val="20"/>
          <w:szCs w:val="20"/>
        </w:rPr>
      </w:pPr>
      <w:r w:rsidRPr="00E62429">
        <w:rPr>
          <w:rFonts w:ascii="Arial" w:hAnsi="Arial" w:cs="Arial"/>
          <w:b/>
          <w:sz w:val="20"/>
          <w:szCs w:val="20"/>
        </w:rPr>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14:paraId="71E1DB84" w14:textId="37102DBF" w:rsidR="00B41A42" w:rsidRDefault="00B41A42" w:rsidP="000F464F">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00AF4327" w14:textId="77777777" w:rsidR="00B41A42" w:rsidRPr="003A2EF0" w:rsidRDefault="00B41A42" w:rsidP="00B41A42">
      <w:pPr>
        <w:jc w:val="both"/>
        <w:rPr>
          <w:rFonts w:ascii="Arial" w:hAnsi="Arial" w:cs="Arial"/>
          <w:b/>
        </w:rPr>
      </w:pPr>
      <w:r w:rsidRPr="003A2EF0">
        <w:rPr>
          <w:rFonts w:ascii="Arial" w:hAnsi="Arial" w:cs="Arial"/>
          <w:b/>
        </w:rPr>
        <w:t>Anexo I</w:t>
      </w:r>
    </w:p>
    <w:p w14:paraId="5EAFEDBB" w14:textId="77777777" w:rsidR="00B41A42" w:rsidRDefault="00B41A42" w:rsidP="00B41A42">
      <w:pPr>
        <w:jc w:val="both"/>
        <w:rPr>
          <w:rFonts w:ascii="Arial" w:hAnsi="Arial" w:cs="Arial"/>
          <w:sz w:val="20"/>
          <w:szCs w:val="20"/>
        </w:rPr>
      </w:pPr>
    </w:p>
    <w:p w14:paraId="1E40127A" w14:textId="77777777" w:rsidR="00B41A42" w:rsidRDefault="00B41A42" w:rsidP="00B41A42">
      <w:pPr>
        <w:jc w:val="both"/>
        <w:rPr>
          <w:rFonts w:ascii="Arial" w:hAnsi="Arial" w:cs="Arial"/>
          <w:sz w:val="20"/>
          <w:szCs w:val="20"/>
        </w:rPr>
      </w:pPr>
      <w:r>
        <w:rPr>
          <w:noProof/>
          <w:lang w:eastAsia="es-MX"/>
        </w:rPr>
        <w:drawing>
          <wp:inline distT="0" distB="0" distL="0" distR="0" wp14:anchorId="1D8B3E7B" wp14:editId="7C2CF0CB">
            <wp:extent cx="5859559" cy="2219325"/>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9308" cy="2223017"/>
                    </a:xfrm>
                    <a:prstGeom prst="rect">
                      <a:avLst/>
                    </a:prstGeom>
                    <a:noFill/>
                    <a:ln>
                      <a:noFill/>
                    </a:ln>
                  </pic:spPr>
                </pic:pic>
              </a:graphicData>
            </a:graphic>
          </wp:inline>
        </w:drawing>
      </w:r>
    </w:p>
    <w:p w14:paraId="1B1194B6" w14:textId="77777777" w:rsidR="00B41A42" w:rsidRDefault="00B41A42" w:rsidP="00B41A42">
      <w:pPr>
        <w:jc w:val="both"/>
        <w:rPr>
          <w:rFonts w:ascii="Arial" w:hAnsi="Arial" w:cs="Arial"/>
          <w:sz w:val="20"/>
          <w:szCs w:val="20"/>
        </w:rPr>
      </w:pPr>
    </w:p>
    <w:p w14:paraId="0C82BB0D" w14:textId="77777777" w:rsidR="00B41A42" w:rsidRDefault="00B41A42" w:rsidP="00B41A42">
      <w:pPr>
        <w:jc w:val="both"/>
        <w:rPr>
          <w:rFonts w:ascii="Arial" w:hAnsi="Arial" w:cs="Arial"/>
          <w:sz w:val="20"/>
          <w:szCs w:val="20"/>
        </w:rPr>
      </w:pPr>
    </w:p>
    <w:p w14:paraId="42665A9F" w14:textId="77777777" w:rsidR="00B41A42" w:rsidRDefault="00B41A42" w:rsidP="00B41A42">
      <w:pPr>
        <w:jc w:val="both"/>
        <w:rPr>
          <w:rFonts w:ascii="Arial" w:hAnsi="Arial" w:cs="Arial"/>
          <w:sz w:val="20"/>
          <w:szCs w:val="20"/>
        </w:rPr>
      </w:pPr>
    </w:p>
    <w:p w14:paraId="6BAF4BE4" w14:textId="77777777" w:rsidR="00B41A42" w:rsidRDefault="00B41A42" w:rsidP="00B41A42">
      <w:pPr>
        <w:jc w:val="both"/>
        <w:rPr>
          <w:rFonts w:ascii="Arial" w:hAnsi="Arial" w:cs="Arial"/>
          <w:sz w:val="20"/>
          <w:szCs w:val="20"/>
        </w:rPr>
      </w:pPr>
      <w:r>
        <w:rPr>
          <w:noProof/>
          <w:lang w:eastAsia="es-MX"/>
        </w:rPr>
        <w:drawing>
          <wp:inline distT="0" distB="0" distL="0" distR="0" wp14:anchorId="5881BC4B" wp14:editId="299A3B52">
            <wp:extent cx="6342552" cy="3866515"/>
            <wp:effectExtent l="0" t="0" r="127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7470" cy="3875609"/>
                    </a:xfrm>
                    <a:prstGeom prst="rect">
                      <a:avLst/>
                    </a:prstGeom>
                    <a:noFill/>
                    <a:ln>
                      <a:noFill/>
                    </a:ln>
                  </pic:spPr>
                </pic:pic>
              </a:graphicData>
            </a:graphic>
          </wp:inline>
        </w:drawing>
      </w:r>
    </w:p>
    <w:p w14:paraId="3EFF6AA1" w14:textId="77777777" w:rsidR="00B41A42" w:rsidRDefault="00B41A42" w:rsidP="00B41A42">
      <w:pPr>
        <w:jc w:val="both"/>
        <w:rPr>
          <w:rFonts w:ascii="Arial" w:hAnsi="Arial" w:cs="Arial"/>
          <w:sz w:val="20"/>
          <w:szCs w:val="20"/>
        </w:rPr>
      </w:pPr>
    </w:p>
    <w:p w14:paraId="67AA859E" w14:textId="77777777" w:rsidR="00B41A42" w:rsidRDefault="00B41A42" w:rsidP="00B41A42">
      <w:pPr>
        <w:jc w:val="both"/>
        <w:rPr>
          <w:rFonts w:ascii="Arial" w:hAnsi="Arial" w:cs="Arial"/>
          <w:sz w:val="20"/>
          <w:szCs w:val="20"/>
        </w:rPr>
      </w:pPr>
    </w:p>
    <w:p w14:paraId="13D4E427" w14:textId="77777777" w:rsidR="00B41A42" w:rsidRDefault="00B41A42" w:rsidP="00B41A42">
      <w:pPr>
        <w:jc w:val="both"/>
        <w:rPr>
          <w:rFonts w:ascii="Arial" w:hAnsi="Arial" w:cs="Arial"/>
          <w:sz w:val="20"/>
          <w:szCs w:val="20"/>
        </w:rPr>
      </w:pPr>
      <w:r>
        <w:rPr>
          <w:noProof/>
          <w:lang w:eastAsia="es-MX"/>
        </w:rPr>
        <w:drawing>
          <wp:inline distT="0" distB="0" distL="0" distR="0" wp14:anchorId="12E2A924" wp14:editId="271F3E94">
            <wp:extent cx="5953125" cy="40025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6333" cy="4004717"/>
                    </a:xfrm>
                    <a:prstGeom prst="rect">
                      <a:avLst/>
                    </a:prstGeom>
                    <a:noFill/>
                    <a:ln>
                      <a:noFill/>
                    </a:ln>
                  </pic:spPr>
                </pic:pic>
              </a:graphicData>
            </a:graphic>
          </wp:inline>
        </w:drawing>
      </w:r>
    </w:p>
    <w:p w14:paraId="69417944" w14:textId="15F702E5" w:rsidR="00B41A42" w:rsidRDefault="00B41A42" w:rsidP="00B41A42">
      <w:pPr>
        <w:jc w:val="both"/>
        <w:rPr>
          <w:rFonts w:ascii="Arial" w:hAnsi="Arial" w:cs="Arial"/>
          <w:sz w:val="20"/>
          <w:szCs w:val="20"/>
        </w:rPr>
      </w:pPr>
    </w:p>
    <w:p w14:paraId="4036C350" w14:textId="77777777" w:rsidR="00DF0FFA" w:rsidRDefault="00DF0FFA" w:rsidP="00B41A42">
      <w:pPr>
        <w:jc w:val="both"/>
        <w:rPr>
          <w:rFonts w:ascii="Arial" w:hAnsi="Arial" w:cs="Arial"/>
          <w:sz w:val="20"/>
          <w:szCs w:val="20"/>
        </w:rPr>
      </w:pPr>
    </w:p>
    <w:p w14:paraId="0FD62263" w14:textId="77777777" w:rsidR="00B41A42" w:rsidRDefault="00B41A42" w:rsidP="00B41A42">
      <w:pPr>
        <w:jc w:val="both"/>
        <w:rPr>
          <w:rFonts w:ascii="Arial" w:hAnsi="Arial" w:cs="Arial"/>
          <w:sz w:val="20"/>
          <w:szCs w:val="20"/>
        </w:rPr>
      </w:pPr>
    </w:p>
    <w:p w14:paraId="24F1ED09" w14:textId="77777777" w:rsidR="00B41A42" w:rsidRDefault="00B41A42" w:rsidP="00B41A42">
      <w:pPr>
        <w:jc w:val="both"/>
        <w:rPr>
          <w:rFonts w:ascii="Arial" w:hAnsi="Arial" w:cs="Arial"/>
          <w:sz w:val="20"/>
          <w:szCs w:val="20"/>
        </w:rPr>
      </w:pPr>
      <w:r>
        <w:rPr>
          <w:noProof/>
          <w:lang w:eastAsia="es-MX"/>
        </w:rPr>
        <w:drawing>
          <wp:inline distT="0" distB="0" distL="0" distR="0" wp14:anchorId="6267FD9A" wp14:editId="608DB2C6">
            <wp:extent cx="5911850" cy="3159632"/>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0899" cy="3169813"/>
                    </a:xfrm>
                    <a:prstGeom prst="rect">
                      <a:avLst/>
                    </a:prstGeom>
                    <a:noFill/>
                    <a:ln>
                      <a:noFill/>
                    </a:ln>
                  </pic:spPr>
                </pic:pic>
              </a:graphicData>
            </a:graphic>
          </wp:inline>
        </w:drawing>
      </w:r>
    </w:p>
    <w:p w14:paraId="701F272B" w14:textId="77777777" w:rsidR="00B41A42" w:rsidRDefault="00B41A42" w:rsidP="00B41A42">
      <w:pPr>
        <w:tabs>
          <w:tab w:val="left" w:pos="11707"/>
        </w:tabs>
        <w:jc w:val="both"/>
        <w:rPr>
          <w:rFonts w:ascii="Arial" w:hAnsi="Arial" w:cs="Arial"/>
          <w:sz w:val="20"/>
          <w:szCs w:val="20"/>
        </w:rPr>
      </w:pPr>
    </w:p>
    <w:p w14:paraId="762E7F99" w14:textId="77777777" w:rsidR="00B41A42" w:rsidRDefault="00B41A42" w:rsidP="00B41A42">
      <w:pPr>
        <w:jc w:val="center"/>
        <w:rPr>
          <w:rFonts w:ascii="Arial" w:hAnsi="Arial" w:cs="Arial"/>
          <w:b/>
          <w:sz w:val="20"/>
          <w:szCs w:val="20"/>
        </w:rPr>
      </w:pPr>
    </w:p>
    <w:p w14:paraId="70E20ED5" w14:textId="77777777" w:rsidR="00B41A42" w:rsidRPr="00C137AC" w:rsidRDefault="00B41A42" w:rsidP="00B41A42">
      <w:pPr>
        <w:jc w:val="center"/>
        <w:rPr>
          <w:rFonts w:ascii="Arial" w:hAnsi="Arial" w:cs="Arial"/>
          <w:b/>
          <w:sz w:val="20"/>
          <w:szCs w:val="20"/>
        </w:rPr>
      </w:pPr>
    </w:p>
    <w:bookmarkStart w:id="1" w:name="_MON_1511344080"/>
    <w:bookmarkEnd w:id="1"/>
    <w:p w14:paraId="2B600421" w14:textId="0A09C550" w:rsidR="00B41A42" w:rsidRPr="00FD605A" w:rsidRDefault="008156BE" w:rsidP="00B41A42">
      <w:pPr>
        <w:rPr>
          <w:rFonts w:ascii="Arial" w:hAnsi="Arial" w:cs="Arial"/>
          <w:sz w:val="20"/>
          <w:szCs w:val="20"/>
        </w:rPr>
      </w:pPr>
      <w:r w:rsidRPr="00D34B4E">
        <w:rPr>
          <w:szCs w:val="18"/>
        </w:rPr>
        <w:object w:dxaOrig="23998" w:dyaOrig="924" w14:anchorId="3056A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75pt;height:26.3pt" o:ole="">
            <v:imagedata r:id="rId16" o:title=""/>
          </v:shape>
          <o:OLEObject Type="Embed" ProgID="Excel.Sheet.12" ShapeID="_x0000_i1025" DrawAspect="Content" ObjectID="_1774700425" r:id="rId17"/>
        </w:object>
      </w:r>
    </w:p>
    <w:p w14:paraId="14B2F466" w14:textId="13F99B52" w:rsidR="00B41A42" w:rsidRDefault="00B41A42" w:rsidP="00B41A42">
      <w:pPr>
        <w:spacing w:after="100" w:afterAutospacing="1"/>
        <w:jc w:val="both"/>
        <w:rPr>
          <w:rFonts w:ascii="Arial" w:hAnsi="Arial" w:cs="Arial"/>
          <w:sz w:val="20"/>
          <w:szCs w:val="20"/>
        </w:rPr>
      </w:pPr>
    </w:p>
    <w:p w14:paraId="69C857F4" w14:textId="77777777" w:rsidR="00DA7B14" w:rsidRPr="00E62429" w:rsidRDefault="00DA7B14" w:rsidP="00B41A42">
      <w:pPr>
        <w:spacing w:after="100" w:afterAutospacing="1"/>
        <w:jc w:val="both"/>
        <w:rPr>
          <w:rFonts w:ascii="Arial" w:hAnsi="Arial" w:cs="Arial"/>
          <w:sz w:val="20"/>
          <w:szCs w:val="20"/>
        </w:rPr>
      </w:pPr>
    </w:p>
    <w:p w14:paraId="52EC9205" w14:textId="77777777" w:rsidR="00B41A42" w:rsidRPr="00E62429" w:rsidRDefault="00B41A42" w:rsidP="00B41A42">
      <w:pPr>
        <w:spacing w:after="100" w:afterAutospacing="1"/>
        <w:jc w:val="both"/>
        <w:rPr>
          <w:rFonts w:ascii="Arial" w:hAnsi="Arial" w:cs="Arial"/>
          <w:sz w:val="20"/>
          <w:szCs w:val="20"/>
        </w:rPr>
      </w:pPr>
    </w:p>
    <w:p w14:paraId="2159E09C" w14:textId="77777777" w:rsidR="00F74FCD" w:rsidRDefault="00F74FCD" w:rsidP="00F74FCD">
      <w:pPr>
        <w:spacing w:after="100" w:afterAutospacing="1"/>
        <w:jc w:val="both"/>
        <w:rPr>
          <w:rFonts w:ascii="Arial" w:hAnsi="Arial" w:cs="Arial"/>
          <w:sz w:val="20"/>
          <w:szCs w:val="20"/>
        </w:rPr>
      </w:pPr>
    </w:p>
    <w:p w14:paraId="1E9109D2" w14:textId="436C46E1" w:rsidR="00F74FCD" w:rsidRPr="00E74967" w:rsidRDefault="008156BE" w:rsidP="008156BE">
      <w:pPr>
        <w:tabs>
          <w:tab w:val="left" w:pos="5433"/>
        </w:tabs>
        <w:spacing w:after="0" w:line="240" w:lineRule="auto"/>
        <w:jc w:val="both"/>
        <w:rPr>
          <w:rFonts w:cs="Calibri"/>
        </w:rPr>
      </w:pPr>
      <w:r>
        <w:rPr>
          <w:rFonts w:cs="Calibri"/>
        </w:rPr>
        <w:tab/>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43551857" w14:textId="07A8D1A1" w:rsidR="00F46719" w:rsidRDefault="00F46719"/>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4434" w14:textId="77777777" w:rsidR="00256CB4" w:rsidRDefault="00256CB4" w:rsidP="00E00323">
      <w:pPr>
        <w:spacing w:after="0" w:line="240" w:lineRule="auto"/>
      </w:pPr>
      <w:r>
        <w:separator/>
      </w:r>
    </w:p>
  </w:endnote>
  <w:endnote w:type="continuationSeparator" w:id="0">
    <w:p w14:paraId="278446B3" w14:textId="77777777" w:rsidR="00256CB4" w:rsidRDefault="00256CB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4093" w14:textId="77777777" w:rsidR="00256CB4" w:rsidRDefault="00256CB4" w:rsidP="00E00323">
      <w:pPr>
        <w:spacing w:after="0" w:line="240" w:lineRule="auto"/>
      </w:pPr>
      <w:r>
        <w:separator/>
      </w:r>
    </w:p>
  </w:footnote>
  <w:footnote w:type="continuationSeparator" w:id="0">
    <w:p w14:paraId="1E43568A" w14:textId="77777777" w:rsidR="00256CB4" w:rsidRDefault="00256CB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39FF3B6" w:rsidR="00154BA3" w:rsidRDefault="00F74FCD" w:rsidP="00A4610E">
    <w:pPr>
      <w:pStyle w:val="Encabezado"/>
      <w:spacing w:after="0" w:line="240" w:lineRule="auto"/>
      <w:jc w:val="center"/>
    </w:pPr>
    <w:r>
      <w:t>Universidad Tecnológica del Norte de Guanajuato</w:t>
    </w:r>
  </w:p>
  <w:p w14:paraId="651A4C4F" w14:textId="6CCA24A7" w:rsidR="00A4610E" w:rsidRDefault="00A4610E" w:rsidP="00A4610E">
    <w:pPr>
      <w:pStyle w:val="Encabezado"/>
      <w:spacing w:after="0" w:line="240" w:lineRule="auto"/>
      <w:jc w:val="center"/>
    </w:pPr>
    <w:r w:rsidRPr="00A4610E">
      <w:t>CORRESPONDI</w:t>
    </w:r>
    <w:r w:rsidR="00F74FCD">
      <w:t>E</w:t>
    </w:r>
    <w:r w:rsidRPr="00A4610E">
      <w:t xml:space="preserve">NTES AL </w:t>
    </w:r>
    <w:r w:rsidR="00E27F35">
      <w:t>PRIMER</w:t>
    </w:r>
    <w:r w:rsidR="00F74FCD">
      <w:t xml:space="preserve"> TRIMESTRE DE 202</w:t>
    </w:r>
    <w:r w:rsidR="00E27F3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46B59"/>
    <w:rsid w:val="00050828"/>
    <w:rsid w:val="00084EAE"/>
    <w:rsid w:val="00091CE6"/>
    <w:rsid w:val="00092D90"/>
    <w:rsid w:val="000B7810"/>
    <w:rsid w:val="000C3365"/>
    <w:rsid w:val="000F14FB"/>
    <w:rsid w:val="000F3B7F"/>
    <w:rsid w:val="000F464F"/>
    <w:rsid w:val="000F4A11"/>
    <w:rsid w:val="001202DF"/>
    <w:rsid w:val="0012405A"/>
    <w:rsid w:val="00132583"/>
    <w:rsid w:val="00154BA3"/>
    <w:rsid w:val="00176B75"/>
    <w:rsid w:val="001973A2"/>
    <w:rsid w:val="001A0F50"/>
    <w:rsid w:val="001B250F"/>
    <w:rsid w:val="001C75F2"/>
    <w:rsid w:val="001D2063"/>
    <w:rsid w:val="001D43E9"/>
    <w:rsid w:val="0021483A"/>
    <w:rsid w:val="00232175"/>
    <w:rsid w:val="00233EED"/>
    <w:rsid w:val="00256CB4"/>
    <w:rsid w:val="00260EA1"/>
    <w:rsid w:val="002A7D45"/>
    <w:rsid w:val="002C0DF5"/>
    <w:rsid w:val="002C5312"/>
    <w:rsid w:val="002D12DD"/>
    <w:rsid w:val="003339B8"/>
    <w:rsid w:val="003453CA"/>
    <w:rsid w:val="00377EA1"/>
    <w:rsid w:val="003A4CBA"/>
    <w:rsid w:val="003B5B5A"/>
    <w:rsid w:val="003F1301"/>
    <w:rsid w:val="003F3686"/>
    <w:rsid w:val="00402CFE"/>
    <w:rsid w:val="004065DA"/>
    <w:rsid w:val="00430B6A"/>
    <w:rsid w:val="00435A87"/>
    <w:rsid w:val="00447ED6"/>
    <w:rsid w:val="004571E7"/>
    <w:rsid w:val="00457E05"/>
    <w:rsid w:val="00497114"/>
    <w:rsid w:val="004A58C8"/>
    <w:rsid w:val="004B3BB5"/>
    <w:rsid w:val="004C52C7"/>
    <w:rsid w:val="004F0B17"/>
    <w:rsid w:val="004F234D"/>
    <w:rsid w:val="0054701E"/>
    <w:rsid w:val="00557B4D"/>
    <w:rsid w:val="005A2F9E"/>
    <w:rsid w:val="005B2A21"/>
    <w:rsid w:val="005B3C2D"/>
    <w:rsid w:val="005B5531"/>
    <w:rsid w:val="005D3E43"/>
    <w:rsid w:val="005E04CA"/>
    <w:rsid w:val="005E231E"/>
    <w:rsid w:val="005E5A46"/>
    <w:rsid w:val="00610B82"/>
    <w:rsid w:val="00657009"/>
    <w:rsid w:val="0067003C"/>
    <w:rsid w:val="00681C79"/>
    <w:rsid w:val="006D0419"/>
    <w:rsid w:val="006D6312"/>
    <w:rsid w:val="006F1DD8"/>
    <w:rsid w:val="006F6401"/>
    <w:rsid w:val="00711F48"/>
    <w:rsid w:val="007610BC"/>
    <w:rsid w:val="00770E93"/>
    <w:rsid w:val="007714AB"/>
    <w:rsid w:val="007853C1"/>
    <w:rsid w:val="00797713"/>
    <w:rsid w:val="007C6FD4"/>
    <w:rsid w:val="007D1E76"/>
    <w:rsid w:val="007D4484"/>
    <w:rsid w:val="00806B91"/>
    <w:rsid w:val="008156BE"/>
    <w:rsid w:val="00823B4C"/>
    <w:rsid w:val="0084772C"/>
    <w:rsid w:val="0086459F"/>
    <w:rsid w:val="008C3BB8"/>
    <w:rsid w:val="008C545F"/>
    <w:rsid w:val="008E076C"/>
    <w:rsid w:val="0092765C"/>
    <w:rsid w:val="00982ADE"/>
    <w:rsid w:val="009933F5"/>
    <w:rsid w:val="009B1842"/>
    <w:rsid w:val="009B262C"/>
    <w:rsid w:val="009E1198"/>
    <w:rsid w:val="009F12CD"/>
    <w:rsid w:val="00A128ED"/>
    <w:rsid w:val="00A34301"/>
    <w:rsid w:val="00A4610E"/>
    <w:rsid w:val="00A7286D"/>
    <w:rsid w:val="00A730E0"/>
    <w:rsid w:val="00AA41E5"/>
    <w:rsid w:val="00AA78B7"/>
    <w:rsid w:val="00AB722B"/>
    <w:rsid w:val="00AE1F6A"/>
    <w:rsid w:val="00B1166C"/>
    <w:rsid w:val="00B11964"/>
    <w:rsid w:val="00B41A42"/>
    <w:rsid w:val="00B431FF"/>
    <w:rsid w:val="00B47918"/>
    <w:rsid w:val="00B5448F"/>
    <w:rsid w:val="00B82081"/>
    <w:rsid w:val="00BB7142"/>
    <w:rsid w:val="00BF1996"/>
    <w:rsid w:val="00C345C5"/>
    <w:rsid w:val="00C70437"/>
    <w:rsid w:val="00C74833"/>
    <w:rsid w:val="00C97E1E"/>
    <w:rsid w:val="00CB41C4"/>
    <w:rsid w:val="00CD3076"/>
    <w:rsid w:val="00CF0628"/>
    <w:rsid w:val="00CF1316"/>
    <w:rsid w:val="00D13C44"/>
    <w:rsid w:val="00D152EF"/>
    <w:rsid w:val="00D40FC2"/>
    <w:rsid w:val="00D5018E"/>
    <w:rsid w:val="00D975B1"/>
    <w:rsid w:val="00DA7B14"/>
    <w:rsid w:val="00DB30EE"/>
    <w:rsid w:val="00DB6CDF"/>
    <w:rsid w:val="00DF0FFA"/>
    <w:rsid w:val="00E00323"/>
    <w:rsid w:val="00E25F96"/>
    <w:rsid w:val="00E27E58"/>
    <w:rsid w:val="00E27F35"/>
    <w:rsid w:val="00E62484"/>
    <w:rsid w:val="00E74967"/>
    <w:rsid w:val="00E7559F"/>
    <w:rsid w:val="00E7627B"/>
    <w:rsid w:val="00E820C5"/>
    <w:rsid w:val="00E92198"/>
    <w:rsid w:val="00EA2212"/>
    <w:rsid w:val="00EA37F5"/>
    <w:rsid w:val="00EA7915"/>
    <w:rsid w:val="00EF0C2E"/>
    <w:rsid w:val="00F1150D"/>
    <w:rsid w:val="00F46719"/>
    <w:rsid w:val="00F54CF0"/>
    <w:rsid w:val="00F54F6F"/>
    <w:rsid w:val="00F6102D"/>
    <w:rsid w:val="00F64313"/>
    <w:rsid w:val="00F65A92"/>
    <w:rsid w:val="00F67D72"/>
    <w:rsid w:val="00F74FCD"/>
    <w:rsid w:val="00F91134"/>
    <w:rsid w:val="00F96222"/>
    <w:rsid w:val="00FA6AE7"/>
    <w:rsid w:val="00FC708A"/>
    <w:rsid w:val="00FD546A"/>
    <w:rsid w:val="00FD5CE8"/>
    <w:rsid w:val="00FF7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NormalArial">
    <w:name w:val="Normal + Arial"/>
    <w:basedOn w:val="Normal"/>
    <w:rsid w:val="00F74FCD"/>
    <w:pPr>
      <w:spacing w:after="0" w:line="240" w:lineRule="auto"/>
    </w:pPr>
    <w:rPr>
      <w:rFonts w:ascii="Arial" w:eastAsia="Times New Roman" w:hAnsi="Arial" w:cs="Arial"/>
      <w:b/>
      <w:sz w:val="28"/>
      <w:szCs w:val="28"/>
      <w:lang w:val="es-ES" w:eastAsia="es-ES"/>
    </w:rPr>
  </w:style>
  <w:style w:type="character" w:customStyle="1" w:styleId="PrrafodelistaCar">
    <w:name w:val="Párrafo de lista Car"/>
    <w:basedOn w:val="Fuentedeprrafopredeter"/>
    <w:link w:val="Prrafodelista"/>
    <w:uiPriority w:val="34"/>
    <w:locked/>
    <w:rsid w:val="00F74F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6CC91-1E65-4FA9-873C-E86587FA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3569</Words>
  <Characters>19634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23157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Windows User</cp:lastModifiedBy>
  <cp:revision>23</cp:revision>
  <cp:lastPrinted>2023-10-27T20:47:00Z</cp:lastPrinted>
  <dcterms:created xsi:type="dcterms:W3CDTF">2024-04-15T18:53:00Z</dcterms:created>
  <dcterms:modified xsi:type="dcterms:W3CDTF">2024-04-15T21:34:00Z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