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2E" w:rsidRPr="005C7E77" w:rsidRDefault="0051592E" w:rsidP="0051592E">
      <w:pPr>
        <w:jc w:val="center"/>
        <w:rPr>
          <w:rFonts w:ascii="Arial" w:hAnsi="Arial" w:cs="Arial"/>
          <w:b/>
          <w:sz w:val="18"/>
          <w:szCs w:val="18"/>
        </w:rPr>
      </w:pPr>
      <w:bookmarkStart w:id="0" w:name="_GoBack"/>
      <w:bookmarkEnd w:id="0"/>
      <w:r w:rsidRPr="005C7E77">
        <w:rPr>
          <w:rFonts w:ascii="Arial" w:hAnsi="Arial" w:cs="Arial"/>
          <w:b/>
          <w:sz w:val="18"/>
          <w:szCs w:val="18"/>
        </w:rPr>
        <w:t>NOTAS DE GESTIÓN ADMINISTRATIVA</w:t>
      </w:r>
    </w:p>
    <w:p w:rsidR="0051592E" w:rsidRPr="005C7E77" w:rsidRDefault="0051592E" w:rsidP="00DF41A4">
      <w:pPr>
        <w:spacing w:line="360" w:lineRule="auto"/>
        <w:jc w:val="both"/>
        <w:rPr>
          <w:rFonts w:ascii="Arial" w:hAnsi="Arial" w:cs="Arial"/>
          <w:sz w:val="18"/>
          <w:szCs w:val="18"/>
        </w:rPr>
      </w:pPr>
      <w:r w:rsidRPr="005C7E77">
        <w:rPr>
          <w:rFonts w:ascii="Arial" w:hAnsi="Arial" w:cs="Arial"/>
          <w:sz w:val="18"/>
          <w:szCs w:val="18"/>
        </w:rPr>
        <w:t>Los Estados Financieros de los entes públicos, proveen de información financiera a los principales usuarios de la misma, al Congreso y a los ciudadanos.</w:t>
      </w:r>
      <w:r w:rsidRPr="005C7E77">
        <w:rPr>
          <w:rFonts w:ascii="Arial" w:hAnsi="Arial" w:cs="Arial"/>
          <w:sz w:val="18"/>
          <w:szCs w:val="18"/>
        </w:rPr>
        <w:tab/>
      </w:r>
    </w:p>
    <w:p w:rsidR="0051592E" w:rsidRPr="005C7E77" w:rsidRDefault="0051592E" w:rsidP="00DF41A4">
      <w:pPr>
        <w:spacing w:line="360" w:lineRule="auto"/>
        <w:jc w:val="both"/>
        <w:rPr>
          <w:rFonts w:ascii="Arial" w:hAnsi="Arial" w:cs="Arial"/>
          <w:sz w:val="18"/>
          <w:szCs w:val="18"/>
        </w:rPr>
      </w:pPr>
      <w:r w:rsidRPr="005C7E77">
        <w:rPr>
          <w:rFonts w:ascii="Arial" w:hAnsi="Arial"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1592E" w:rsidRPr="005C7E77" w:rsidRDefault="0051592E" w:rsidP="0051592E">
      <w:pPr>
        <w:jc w:val="both"/>
        <w:rPr>
          <w:rFonts w:ascii="Arial" w:hAnsi="Arial" w:cs="Arial"/>
          <w:sz w:val="18"/>
          <w:szCs w:val="18"/>
        </w:rPr>
      </w:pPr>
      <w:r w:rsidRPr="005C7E77">
        <w:rPr>
          <w:rFonts w:ascii="Arial" w:hAnsi="Arial" w:cs="Arial"/>
          <w:b/>
          <w:sz w:val="18"/>
          <w:szCs w:val="18"/>
        </w:rPr>
        <w:t>1. Una introducción:</w:t>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51592E" w:rsidRPr="005C7E77" w:rsidRDefault="0051592E" w:rsidP="0051592E">
      <w:pPr>
        <w:jc w:val="both"/>
        <w:rPr>
          <w:rFonts w:ascii="Arial" w:hAnsi="Arial" w:cs="Arial"/>
          <w:sz w:val="18"/>
          <w:szCs w:val="18"/>
        </w:rPr>
      </w:pPr>
      <w:r w:rsidRPr="005C7E77">
        <w:rPr>
          <w:rFonts w:ascii="Arial" w:hAnsi="Arial" w:cs="Arial"/>
          <w:sz w:val="18"/>
          <w:szCs w:val="18"/>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51592E" w:rsidRPr="005C7E77" w:rsidRDefault="0051592E" w:rsidP="0051592E">
      <w:pPr>
        <w:jc w:val="both"/>
        <w:rPr>
          <w:rFonts w:ascii="Arial" w:hAnsi="Arial" w:cs="Arial"/>
          <w:sz w:val="18"/>
          <w:szCs w:val="18"/>
        </w:rPr>
      </w:pPr>
      <w:r w:rsidRPr="005C7E77">
        <w:rPr>
          <w:rFonts w:ascii="Arial" w:hAnsi="Arial" w:cs="Arial"/>
          <w:sz w:val="18"/>
          <w:szCs w:val="18"/>
        </w:rPr>
        <w:t>A  veinte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51592E" w:rsidRPr="005C7E77" w:rsidRDefault="0051592E" w:rsidP="0051592E">
      <w:pPr>
        <w:jc w:val="both"/>
        <w:rPr>
          <w:rFonts w:ascii="Arial" w:hAnsi="Arial" w:cs="Arial"/>
          <w:sz w:val="18"/>
          <w:szCs w:val="18"/>
        </w:rPr>
      </w:pPr>
      <w:r w:rsidRPr="005C7E77">
        <w:rPr>
          <w:rFonts w:ascii="Arial" w:hAnsi="Arial" w:cs="Arial"/>
          <w:sz w:val="18"/>
          <w:szCs w:val="18"/>
        </w:rPr>
        <w:t>Con base a lo descrito y de conformidad con lo establecido en nuestro marco técnico normativo, corresponde a la UTNG formular la planeación de su desarrollo, con el fin de orientar las acciones necesarias para el cumplimiento de sus fines.</w:t>
      </w:r>
    </w:p>
    <w:p w:rsidR="0051592E" w:rsidRPr="005C7E77" w:rsidRDefault="0051592E" w:rsidP="00B5418C">
      <w:pPr>
        <w:jc w:val="both"/>
        <w:rPr>
          <w:rFonts w:ascii="Arial" w:hAnsi="Arial" w:cs="Arial"/>
          <w:sz w:val="18"/>
          <w:szCs w:val="18"/>
        </w:rPr>
      </w:pPr>
      <w:r w:rsidRPr="005C7E77">
        <w:rPr>
          <w:rFonts w:ascii="Arial" w:hAnsi="Arial" w:cs="Arial"/>
          <w:sz w:val="18"/>
          <w:szCs w:val="18"/>
        </w:rPr>
        <w:t xml:space="preserve">A partir de un ejercicio participativo, en el cual se tomaron en consideración distintitos documentos tales como el Plan Nacional de Desarrollo 2013-2018, el Programa Sectorial de Educación 2013-2018, </w:t>
      </w:r>
      <w:r w:rsidRPr="00881132">
        <w:rPr>
          <w:rFonts w:ascii="Arial" w:hAnsi="Arial" w:cs="Arial"/>
          <w:sz w:val="18"/>
          <w:szCs w:val="18"/>
        </w:rPr>
        <w:t>el Plan de Gobierno 2006-2012 del</w:t>
      </w:r>
      <w:r w:rsidRPr="005C7E77">
        <w:rPr>
          <w:rFonts w:ascii="Arial" w:hAnsi="Arial" w:cs="Arial"/>
          <w:sz w:val="18"/>
          <w:szCs w:val="18"/>
        </w:rPr>
        <w:t xml:space="preserve">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El presente documento describe a través de sus distintos capítulos la semblanza histórica de la institución y su entorno, así como la prospectiva y calendarización de los objetivos planteados para su desarrollo. </w:t>
      </w:r>
    </w:p>
    <w:p w:rsidR="0051592E" w:rsidRPr="005C7E77" w:rsidRDefault="0051592E" w:rsidP="00DF41A4">
      <w:pPr>
        <w:spacing w:after="0"/>
        <w:jc w:val="both"/>
        <w:rPr>
          <w:rFonts w:ascii="Arial" w:hAnsi="Arial" w:cs="Arial"/>
          <w:b/>
          <w:sz w:val="18"/>
          <w:szCs w:val="18"/>
        </w:rPr>
      </w:pPr>
      <w:r w:rsidRPr="005C7E77">
        <w:rPr>
          <w:rFonts w:ascii="Arial" w:hAnsi="Arial" w:cs="Arial"/>
          <w:b/>
          <w:sz w:val="18"/>
          <w:szCs w:val="18"/>
        </w:rPr>
        <w:lastRenderedPageBreak/>
        <w:t>2. Describir el panorama Económico y Financiero:</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Default="0051592E" w:rsidP="00DF41A4">
      <w:pPr>
        <w:spacing w:after="0"/>
        <w:jc w:val="both"/>
        <w:rPr>
          <w:rFonts w:ascii="Arial" w:hAnsi="Arial" w:cs="Arial"/>
          <w:sz w:val="18"/>
          <w:szCs w:val="18"/>
        </w:rPr>
      </w:pPr>
      <w:r w:rsidRPr="005C7E77">
        <w:rPr>
          <w:rFonts w:ascii="Arial" w:hAnsi="Arial" w:cs="Arial"/>
          <w:sz w:val="18"/>
          <w:szCs w:val="18"/>
        </w:rPr>
        <w:t xml:space="preserve">La Dirección General de Contabilidad Gubernamental, dará la debida contestación en el tomo de cuenta pública, a esta pregunta en concreto. </w:t>
      </w:r>
    </w:p>
    <w:p w:rsidR="00DF41A4" w:rsidRPr="005C7E77" w:rsidRDefault="00DF41A4" w:rsidP="00DF41A4">
      <w:pPr>
        <w:spacing w:after="0"/>
        <w:jc w:val="both"/>
        <w:rPr>
          <w:rFonts w:ascii="Arial" w:hAnsi="Arial" w:cs="Arial"/>
          <w:sz w:val="18"/>
          <w:szCs w:val="18"/>
        </w:rPr>
      </w:pPr>
    </w:p>
    <w:p w:rsidR="0051592E" w:rsidRPr="005C7E77" w:rsidRDefault="0051592E" w:rsidP="0051592E">
      <w:pPr>
        <w:jc w:val="both"/>
        <w:rPr>
          <w:rFonts w:ascii="Arial" w:hAnsi="Arial" w:cs="Arial"/>
          <w:b/>
          <w:sz w:val="18"/>
          <w:szCs w:val="18"/>
        </w:rPr>
      </w:pPr>
      <w:r w:rsidRPr="005C7E77">
        <w:rPr>
          <w:rFonts w:ascii="Arial" w:hAnsi="Arial" w:cs="Arial"/>
          <w:b/>
          <w:sz w:val="18"/>
          <w:szCs w:val="18"/>
        </w:rPr>
        <w:t>3. Autorización e Historia:</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a) Fecha de creación del ente.</w:t>
      </w:r>
    </w:p>
    <w:p w:rsidR="0051592E" w:rsidRPr="005C7E77" w:rsidRDefault="0051592E" w:rsidP="0051592E">
      <w:pPr>
        <w:pStyle w:val="NormalArial"/>
        <w:jc w:val="both"/>
        <w:rPr>
          <w:b w:val="0"/>
          <w:sz w:val="18"/>
          <w:szCs w:val="18"/>
          <w:lang w:val="es-MX"/>
        </w:rPr>
      </w:pPr>
      <w:r w:rsidRPr="005C7E77">
        <w:rPr>
          <w:b w:val="0"/>
          <w:snapToGrid w:val="0"/>
          <w:sz w:val="18"/>
          <w:szCs w:val="18"/>
        </w:rPr>
        <w:t>La</w:t>
      </w:r>
      <w:r w:rsidRPr="005C7E77">
        <w:rPr>
          <w:b w:val="0"/>
          <w:snapToGrid w:val="0"/>
          <w:sz w:val="18"/>
          <w:szCs w:val="18"/>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5C7E77">
        <w:rPr>
          <w:b w:val="0"/>
          <w:snapToGrid w:val="0"/>
          <w:sz w:val="18"/>
          <w:szCs w:val="18"/>
        </w:rPr>
        <w:t xml:space="preserve"> dicho decreto fue abrogado en julio de 1999 por el No. 130, mismo que fue reestructurado por medio del Decreto Gubernativo 30 en junio de 2000; finalmente, </w:t>
      </w:r>
      <w:r w:rsidRPr="005C7E77">
        <w:rPr>
          <w:b w:val="0"/>
          <w:sz w:val="18"/>
          <w:szCs w:val="18"/>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51592E" w:rsidRPr="005C7E77" w:rsidRDefault="0051592E" w:rsidP="0051592E">
      <w:pPr>
        <w:pStyle w:val="NormalArial"/>
        <w:jc w:val="both"/>
        <w:rPr>
          <w:b w:val="0"/>
          <w:snapToGrid w:val="0"/>
          <w:sz w:val="18"/>
          <w:szCs w:val="18"/>
          <w:lang w:val="es-ES_tradnl"/>
        </w:rPr>
      </w:pPr>
    </w:p>
    <w:p w:rsidR="0051592E" w:rsidRPr="005C7E77" w:rsidRDefault="0051592E" w:rsidP="0051592E">
      <w:pPr>
        <w:pStyle w:val="NormalArial"/>
        <w:jc w:val="both"/>
        <w:rPr>
          <w:b w:val="0"/>
          <w:snapToGrid w:val="0"/>
          <w:sz w:val="18"/>
          <w:szCs w:val="18"/>
          <w:lang w:val="es-ES_tradnl"/>
        </w:rPr>
      </w:pPr>
      <w:r w:rsidRPr="005C7E77">
        <w:rPr>
          <w:b w:val="0"/>
          <w:snapToGrid w:val="0"/>
          <w:sz w:val="18"/>
          <w:szCs w:val="18"/>
          <w:lang w:val="es-ES_tradnl"/>
        </w:rPr>
        <w:t>En agosto de 1996 se creó el campus Victoria ubicado en el municipio del mismo nombre.</w:t>
      </w:r>
    </w:p>
    <w:p w:rsidR="0051592E" w:rsidRPr="005C7E77" w:rsidRDefault="0051592E" w:rsidP="0051592E">
      <w:pPr>
        <w:pStyle w:val="NormalArial"/>
        <w:jc w:val="both"/>
        <w:rPr>
          <w:b w:val="0"/>
          <w:snapToGrid w:val="0"/>
          <w:sz w:val="18"/>
          <w:szCs w:val="18"/>
        </w:rPr>
      </w:pPr>
    </w:p>
    <w:p w:rsidR="0051592E" w:rsidRPr="005C7E77" w:rsidRDefault="0051592E" w:rsidP="0051592E">
      <w:pPr>
        <w:pStyle w:val="NormalArial"/>
        <w:jc w:val="both"/>
        <w:rPr>
          <w:b w:val="0"/>
          <w:snapToGrid w:val="0"/>
          <w:sz w:val="18"/>
          <w:szCs w:val="18"/>
        </w:rPr>
      </w:pPr>
      <w:r w:rsidRPr="005C7E77">
        <w:rPr>
          <w:b w:val="0"/>
          <w:snapToGrid w:val="0"/>
          <w:sz w:val="18"/>
          <w:szCs w:val="18"/>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51592E" w:rsidRPr="005C7E77" w:rsidRDefault="0051592E" w:rsidP="0051592E">
      <w:pPr>
        <w:pStyle w:val="NormalArial"/>
        <w:jc w:val="both"/>
        <w:rPr>
          <w:b w:val="0"/>
          <w:snapToGrid w:val="0"/>
          <w:sz w:val="18"/>
          <w:szCs w:val="18"/>
        </w:rPr>
      </w:pPr>
    </w:p>
    <w:p w:rsidR="0051592E" w:rsidRPr="005C7E77" w:rsidRDefault="0051592E" w:rsidP="0051592E">
      <w:pPr>
        <w:pStyle w:val="NormalArial"/>
        <w:jc w:val="both"/>
        <w:rPr>
          <w:b w:val="0"/>
          <w:sz w:val="18"/>
          <w:szCs w:val="18"/>
        </w:rPr>
      </w:pPr>
      <w:r w:rsidRPr="005C7E77">
        <w:rPr>
          <w:b w:val="0"/>
          <w:snapToGrid w:val="0"/>
          <w:sz w:val="18"/>
          <w:szCs w:val="18"/>
        </w:rPr>
        <w:t xml:space="preserve">De este modo se responde a las expectativas y necesidades de los sectores educativo, productivo y social a través de un </w:t>
      </w:r>
      <w:r w:rsidRPr="005C7E77">
        <w:rPr>
          <w:b w:val="0"/>
          <w:sz w:val="18"/>
          <w:szCs w:val="18"/>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51592E" w:rsidRPr="005C7E77" w:rsidRDefault="0051592E" w:rsidP="0051592E">
      <w:pPr>
        <w:jc w:val="both"/>
        <w:rPr>
          <w:rFonts w:ascii="Arial" w:hAnsi="Arial" w:cs="Arial"/>
          <w:sz w:val="18"/>
          <w:szCs w:val="18"/>
        </w:rPr>
      </w:pPr>
    </w:p>
    <w:p w:rsidR="00B415DF" w:rsidRDefault="0051592E" w:rsidP="0051592E">
      <w:pPr>
        <w:jc w:val="both"/>
        <w:rPr>
          <w:rFonts w:ascii="Arial" w:hAnsi="Arial" w:cs="Arial"/>
          <w:sz w:val="18"/>
          <w:szCs w:val="18"/>
        </w:rPr>
      </w:pPr>
      <w:r w:rsidRPr="005C7E77">
        <w:rPr>
          <w:rFonts w:ascii="Arial" w:hAnsi="Arial" w:cs="Arial"/>
          <w:sz w:val="18"/>
          <w:szCs w:val="18"/>
        </w:rPr>
        <w:t xml:space="preserve">b) Principales cambios de estructura. Se presentan en el </w:t>
      </w:r>
      <w:r w:rsidRPr="005C7E77">
        <w:rPr>
          <w:rFonts w:ascii="Arial" w:hAnsi="Arial" w:cs="Arial"/>
          <w:b/>
          <w:sz w:val="18"/>
          <w:szCs w:val="18"/>
        </w:rPr>
        <w:t xml:space="preserve">Anexo I y II </w:t>
      </w:r>
      <w:r w:rsidRPr="005C7E77">
        <w:rPr>
          <w:rFonts w:ascii="Arial" w:hAnsi="Arial" w:cs="Arial"/>
          <w:sz w:val="18"/>
          <w:szCs w:val="18"/>
        </w:rPr>
        <w:t xml:space="preserve"> de las notas de gestión administrativa.</w:t>
      </w:r>
    </w:p>
    <w:p w:rsidR="0051592E" w:rsidRPr="005C7E77" w:rsidRDefault="0051592E" w:rsidP="0051592E">
      <w:pPr>
        <w:jc w:val="both"/>
        <w:rPr>
          <w:rFonts w:ascii="Arial" w:hAnsi="Arial" w:cs="Arial"/>
          <w:sz w:val="18"/>
          <w:szCs w:val="18"/>
        </w:rPr>
      </w:pP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4. Organización y Objeto Social:</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a) Objeto social </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Formar técnicos superiores universitarios e Ingenieros.</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Realizar investigación científica y tecnológica en las áreas de su competencia.</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Desarrollar programas de apoyo técnico.</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Promover la cultura nacional y universal.</w:t>
      </w:r>
    </w:p>
    <w:p w:rsidR="0051592E"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Desarrollar la vinculación con la sociedad en general.</w:t>
      </w:r>
    </w:p>
    <w:p w:rsidR="00DF41A4" w:rsidRPr="005C7E77" w:rsidRDefault="00DF41A4" w:rsidP="00DF41A4">
      <w:pPr>
        <w:spacing w:after="0" w:line="360" w:lineRule="auto"/>
        <w:ind w:left="357"/>
        <w:jc w:val="both"/>
        <w:rPr>
          <w:rFonts w:ascii="Arial" w:hAnsi="Arial" w:cs="Arial"/>
          <w:sz w:val="18"/>
          <w:szCs w:val="18"/>
        </w:rPr>
      </w:pPr>
    </w:p>
    <w:p w:rsidR="0051592E" w:rsidRPr="005C7E77" w:rsidRDefault="0051592E" w:rsidP="0051592E">
      <w:pPr>
        <w:jc w:val="both"/>
        <w:rPr>
          <w:rFonts w:ascii="Arial" w:hAnsi="Arial" w:cs="Arial"/>
          <w:sz w:val="18"/>
          <w:szCs w:val="18"/>
        </w:rPr>
      </w:pPr>
      <w:r w:rsidRPr="005C7E77">
        <w:rPr>
          <w:rFonts w:ascii="Arial" w:hAnsi="Arial" w:cs="Arial"/>
          <w:sz w:val="18"/>
          <w:szCs w:val="18"/>
        </w:rPr>
        <w:t>b) Principal actividad</w:t>
      </w:r>
    </w:p>
    <w:p w:rsidR="0051592E" w:rsidRPr="005C7E77" w:rsidRDefault="0051592E" w:rsidP="0051592E">
      <w:pPr>
        <w:jc w:val="both"/>
        <w:rPr>
          <w:rFonts w:ascii="Arial" w:hAnsi="Arial" w:cs="Arial"/>
          <w:sz w:val="18"/>
          <w:szCs w:val="18"/>
        </w:rPr>
      </w:pPr>
      <w:r w:rsidRPr="005C7E77">
        <w:rPr>
          <w:rFonts w:ascii="Arial" w:hAnsi="Arial" w:cs="Arial"/>
          <w:sz w:val="18"/>
          <w:szCs w:val="18"/>
        </w:rPr>
        <w:t>Impartir Educación Superior a los alumnos egresados del bachillerato o su equivalente.</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 xml:space="preserve">c) Ejercicio fiscal </w:t>
      </w:r>
    </w:p>
    <w:p w:rsidR="0051592E" w:rsidRPr="005C7E77" w:rsidRDefault="0051592E" w:rsidP="0051592E">
      <w:pPr>
        <w:jc w:val="both"/>
        <w:rPr>
          <w:rFonts w:ascii="Arial" w:hAnsi="Arial" w:cs="Arial"/>
          <w:sz w:val="18"/>
          <w:szCs w:val="18"/>
        </w:rPr>
      </w:pPr>
      <w:r w:rsidRPr="005C7E77">
        <w:rPr>
          <w:rFonts w:ascii="Arial" w:hAnsi="Arial" w:cs="Arial"/>
          <w:sz w:val="18"/>
          <w:szCs w:val="18"/>
        </w:rPr>
        <w:t>Desde su creación a la fecha esta Institución ha entregado su información de manera anual por consiguiente actualmente se está en el periodo fiscal 201</w:t>
      </w:r>
      <w:r w:rsidR="00DB4E0D">
        <w:rPr>
          <w:rFonts w:ascii="Arial" w:hAnsi="Arial" w:cs="Arial"/>
          <w:sz w:val="18"/>
          <w:szCs w:val="18"/>
        </w:rPr>
        <w:t>5</w:t>
      </w:r>
      <w:r w:rsidRPr="005C7E77">
        <w:rPr>
          <w:rFonts w:ascii="Arial" w:hAnsi="Arial" w:cs="Arial"/>
          <w:sz w:val="18"/>
          <w:szCs w:val="18"/>
        </w:rPr>
        <w:t>.</w:t>
      </w:r>
    </w:p>
    <w:p w:rsidR="0051592E" w:rsidRPr="005C7E77" w:rsidRDefault="0051592E" w:rsidP="0051592E">
      <w:pPr>
        <w:jc w:val="both"/>
        <w:rPr>
          <w:rFonts w:ascii="Arial" w:hAnsi="Arial" w:cs="Arial"/>
          <w:sz w:val="18"/>
          <w:szCs w:val="18"/>
        </w:rPr>
      </w:pPr>
      <w:r w:rsidRPr="005C7E77">
        <w:rPr>
          <w:rFonts w:ascii="Arial" w:hAnsi="Arial" w:cs="Arial"/>
          <w:sz w:val="18"/>
          <w:szCs w:val="18"/>
        </w:rPr>
        <w:t>d) Régimen jurídico (Fiscal).</w:t>
      </w:r>
    </w:p>
    <w:p w:rsidR="0051592E" w:rsidRPr="005C7E77" w:rsidRDefault="0051592E" w:rsidP="0051592E">
      <w:pPr>
        <w:jc w:val="both"/>
        <w:rPr>
          <w:rFonts w:ascii="Arial" w:hAnsi="Arial" w:cs="Arial"/>
          <w:sz w:val="18"/>
          <w:szCs w:val="18"/>
        </w:rPr>
      </w:pPr>
      <w:r w:rsidRPr="005C7E77">
        <w:rPr>
          <w:rFonts w:ascii="Arial" w:hAnsi="Arial" w:cs="Arial"/>
          <w:sz w:val="18"/>
          <w:szCs w:val="18"/>
        </w:rPr>
        <w:t>Escuelas de educación superior perteneciente al sector público.</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 Consideraciones fiscales del ente: </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y pago provisional mensual de retenciones de impuesto sobre la renta por sueldos y salarios.</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anual de impuesto sobre la renta donde se informe por retenciones y pagos de servicios profesionales.</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anual de impuesto sobre la renta donde se informe sobre las retenciones de los trabajadores y asimilados.</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y pago provisional mensual por retenciones realizadas por servicios profesionales.</w:t>
      </w:r>
    </w:p>
    <w:p w:rsidR="0051592E"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informativa anual de subsidio para el empleo.</w:t>
      </w:r>
    </w:p>
    <w:p w:rsidR="00DF41A4" w:rsidRPr="005C7E77" w:rsidRDefault="00DF41A4" w:rsidP="00DF41A4">
      <w:pPr>
        <w:spacing w:after="0" w:line="360" w:lineRule="auto"/>
        <w:jc w:val="both"/>
        <w:rPr>
          <w:rFonts w:ascii="Arial" w:hAnsi="Arial" w:cs="Arial"/>
          <w:sz w:val="18"/>
          <w:szCs w:val="18"/>
        </w:rPr>
      </w:pPr>
    </w:p>
    <w:p w:rsidR="0051592E" w:rsidRPr="005C7E77" w:rsidRDefault="0051592E" w:rsidP="0051592E">
      <w:pPr>
        <w:jc w:val="both"/>
        <w:rPr>
          <w:rFonts w:ascii="Arial" w:hAnsi="Arial" w:cs="Arial"/>
          <w:sz w:val="18"/>
          <w:szCs w:val="18"/>
        </w:rPr>
      </w:pPr>
      <w:r w:rsidRPr="005C7E77">
        <w:rPr>
          <w:rFonts w:ascii="Arial" w:hAnsi="Arial" w:cs="Arial"/>
          <w:sz w:val="18"/>
          <w:szCs w:val="18"/>
        </w:rPr>
        <w:t>f) Estructura organizacional básica</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Se presenta en </w:t>
      </w:r>
      <w:r w:rsidR="00840080">
        <w:rPr>
          <w:rFonts w:ascii="Arial" w:hAnsi="Arial" w:cs="Arial"/>
          <w:b/>
          <w:sz w:val="18"/>
          <w:szCs w:val="18"/>
        </w:rPr>
        <w:t>Anexo I y II</w:t>
      </w:r>
      <w:r w:rsidRPr="005C7E77">
        <w:rPr>
          <w:rFonts w:ascii="Arial" w:hAnsi="Arial" w:cs="Arial"/>
          <w:sz w:val="18"/>
          <w:szCs w:val="18"/>
        </w:rPr>
        <w:t xml:space="preserve"> del documento Notas de Gestión Administrativa.</w:t>
      </w:r>
    </w:p>
    <w:p w:rsidR="0051592E" w:rsidRPr="005C7E77" w:rsidRDefault="0051592E" w:rsidP="0051592E">
      <w:pPr>
        <w:jc w:val="both"/>
        <w:rPr>
          <w:rFonts w:ascii="Arial" w:hAnsi="Arial" w:cs="Arial"/>
          <w:sz w:val="18"/>
          <w:szCs w:val="18"/>
        </w:rPr>
      </w:pPr>
      <w:r w:rsidRPr="005C7E77">
        <w:rPr>
          <w:rFonts w:ascii="Arial" w:hAnsi="Arial" w:cs="Arial"/>
          <w:sz w:val="18"/>
          <w:szCs w:val="18"/>
        </w:rPr>
        <w:t>g) Fideicomisos, mandatos y análogos de los cuales es fideicomitente o fiduciario.</w:t>
      </w:r>
    </w:p>
    <w:p w:rsidR="0051592E" w:rsidRPr="00194A72" w:rsidRDefault="0051592E" w:rsidP="0051592E">
      <w:pPr>
        <w:jc w:val="both"/>
        <w:rPr>
          <w:rFonts w:ascii="Arial" w:hAnsi="Arial" w:cs="Arial"/>
          <w:sz w:val="18"/>
          <w:szCs w:val="18"/>
        </w:rPr>
      </w:pPr>
      <w:r w:rsidRPr="00194A72">
        <w:rPr>
          <w:rFonts w:ascii="Arial" w:hAnsi="Arial" w:cs="Arial"/>
          <w:sz w:val="18"/>
          <w:szCs w:val="18"/>
        </w:rPr>
        <w:t xml:space="preserve">Actualmente la Universidad Tecnológica del Norte de Guanajuato </w:t>
      </w:r>
      <w:r w:rsidR="00194A72" w:rsidRPr="00194A72">
        <w:rPr>
          <w:rFonts w:ascii="Arial" w:hAnsi="Arial" w:cs="Arial"/>
          <w:sz w:val="18"/>
          <w:szCs w:val="18"/>
        </w:rPr>
        <w:t>no cuenta con ningún tipo de Fideicomiso.</w:t>
      </w:r>
    </w:p>
    <w:p w:rsidR="0051592E" w:rsidRPr="003A3AE7" w:rsidRDefault="0051592E" w:rsidP="0051592E">
      <w:pPr>
        <w:numPr>
          <w:ilvl w:val="0"/>
          <w:numId w:val="2"/>
        </w:numPr>
        <w:jc w:val="both"/>
        <w:rPr>
          <w:rFonts w:ascii="Arial" w:hAnsi="Arial" w:cs="Arial"/>
          <w:sz w:val="18"/>
          <w:szCs w:val="18"/>
        </w:rPr>
      </w:pPr>
      <w:r w:rsidRPr="003A3AE7">
        <w:rPr>
          <w:rFonts w:ascii="Arial" w:hAnsi="Arial" w:cs="Arial"/>
          <w:sz w:val="18"/>
          <w:szCs w:val="18"/>
        </w:rPr>
        <w:t>Programa de mejoramiento del profesorado (PROMEP)</w:t>
      </w:r>
      <w:r w:rsidR="003A3AE7">
        <w:rPr>
          <w:rFonts w:ascii="Arial" w:hAnsi="Arial" w:cs="Arial"/>
          <w:sz w:val="18"/>
          <w:szCs w:val="18"/>
        </w:rPr>
        <w:t xml:space="preserve"> se extinguió con convenio de fecha 13 de febrero de 2015.</w:t>
      </w:r>
    </w:p>
    <w:p w:rsidR="0051592E" w:rsidRPr="005C7E77" w:rsidRDefault="0051592E" w:rsidP="0051592E">
      <w:pPr>
        <w:jc w:val="both"/>
        <w:rPr>
          <w:rFonts w:ascii="Arial" w:hAnsi="Arial" w:cs="Arial"/>
          <w:sz w:val="18"/>
          <w:szCs w:val="18"/>
        </w:rPr>
      </w:pPr>
      <w:r w:rsidRPr="005C7E77">
        <w:rPr>
          <w:rFonts w:ascii="Arial" w:hAnsi="Arial" w:cs="Arial"/>
          <w:sz w:val="18"/>
          <w:szCs w:val="18"/>
        </w:rPr>
        <w:t>Anteriormente se contaba con el fideicomiso denominado “Sistema de apoyo y financiamiento para el estudio (SIAFINE)” mismo que fue cancelado en febrero de 2014.</w:t>
      </w:r>
    </w:p>
    <w:p w:rsidR="0051592E" w:rsidRPr="005C7E77" w:rsidRDefault="0051592E" w:rsidP="0051592E">
      <w:pPr>
        <w:jc w:val="both"/>
        <w:rPr>
          <w:rFonts w:ascii="Arial" w:hAnsi="Arial" w:cs="Arial"/>
          <w:sz w:val="18"/>
          <w:szCs w:val="18"/>
        </w:rPr>
      </w:pPr>
      <w:r w:rsidRPr="005C7E77">
        <w:rPr>
          <w:rFonts w:ascii="Arial" w:hAnsi="Arial" w:cs="Arial"/>
          <w:sz w:val="18"/>
          <w:szCs w:val="18"/>
        </w:rPr>
        <w:t>Ambos fueron creados únicamente por institución bancaria y no por decreto, por lo que no existe una estructura administrativa en virtud que los puestos en el fideicomiso son honoríficos, así mismo no cuentan un RFC independiente al de la Institución.</w:t>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5. Bases de Preparación de los Estados Financieros: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Se informará sobre:</w:t>
      </w:r>
    </w:p>
    <w:p w:rsidR="0051592E" w:rsidRPr="005C7E77" w:rsidRDefault="0051592E" w:rsidP="0051592E">
      <w:pPr>
        <w:jc w:val="both"/>
        <w:rPr>
          <w:rFonts w:ascii="Arial" w:hAnsi="Arial" w:cs="Arial"/>
          <w:sz w:val="18"/>
          <w:szCs w:val="18"/>
        </w:rPr>
      </w:pPr>
      <w:r w:rsidRPr="005C7E77">
        <w:rPr>
          <w:rFonts w:ascii="Arial" w:hAnsi="Arial" w:cs="Arial"/>
          <w:sz w:val="18"/>
          <w:szCs w:val="18"/>
        </w:rPr>
        <w:t>a) Si se ha observado la normatividad emitida por el CONAC y las disposiciones legales aplicables.</w:t>
      </w:r>
    </w:p>
    <w:p w:rsidR="0051592E" w:rsidRPr="005C7E77" w:rsidRDefault="0051592E" w:rsidP="0051592E">
      <w:pPr>
        <w:jc w:val="both"/>
        <w:rPr>
          <w:rFonts w:ascii="Arial" w:hAnsi="Arial" w:cs="Arial"/>
          <w:sz w:val="18"/>
          <w:szCs w:val="18"/>
        </w:rPr>
      </w:pPr>
      <w:r w:rsidRPr="005C7E77">
        <w:rPr>
          <w:rFonts w:ascii="Arial" w:hAnsi="Arial" w:cs="Arial"/>
          <w:sz w:val="18"/>
          <w:szCs w:val="18"/>
        </w:rPr>
        <w:t>Las bases de preparación de los estados financieros observan en cierta medida la normatividad emitida por la CONAC y las disposiciones legales aplicables.</w:t>
      </w:r>
    </w:p>
    <w:p w:rsidR="0051592E" w:rsidRPr="005C7E77" w:rsidRDefault="0051592E" w:rsidP="0051592E">
      <w:pPr>
        <w:jc w:val="both"/>
        <w:rPr>
          <w:rFonts w:ascii="Arial" w:hAnsi="Arial" w:cs="Arial"/>
          <w:sz w:val="18"/>
          <w:szCs w:val="18"/>
        </w:rPr>
      </w:pPr>
      <w:r w:rsidRPr="005C7E77">
        <w:rPr>
          <w:rFonts w:ascii="Arial"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1592E" w:rsidRPr="005C7E77" w:rsidRDefault="0051592E" w:rsidP="0051592E">
      <w:pPr>
        <w:jc w:val="both"/>
        <w:rPr>
          <w:rFonts w:ascii="Arial" w:hAnsi="Arial" w:cs="Arial"/>
          <w:sz w:val="18"/>
          <w:szCs w:val="18"/>
        </w:rPr>
      </w:pPr>
      <w:r w:rsidRPr="005C7E77">
        <w:rPr>
          <w:rFonts w:ascii="Arial" w:hAnsi="Arial" w:cs="Arial"/>
          <w:sz w:val="18"/>
          <w:szCs w:val="18"/>
        </w:rPr>
        <w:t>c) Postulados básico</w:t>
      </w:r>
    </w:p>
    <w:p w:rsidR="0051592E" w:rsidRPr="005C7E77" w:rsidRDefault="0051592E" w:rsidP="0051592E">
      <w:pPr>
        <w:jc w:val="both"/>
        <w:rPr>
          <w:rFonts w:ascii="Arial" w:hAnsi="Arial" w:cs="Arial"/>
          <w:sz w:val="18"/>
          <w:szCs w:val="18"/>
        </w:rPr>
      </w:pPr>
      <w:r w:rsidRPr="005C7E77">
        <w:rPr>
          <w:rFonts w:ascii="Arial"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1592E" w:rsidRPr="005C7E77" w:rsidRDefault="0051592E" w:rsidP="0051592E">
      <w:pPr>
        <w:jc w:val="both"/>
        <w:rPr>
          <w:rFonts w:ascii="Arial" w:hAnsi="Arial" w:cs="Arial"/>
          <w:sz w:val="18"/>
          <w:szCs w:val="18"/>
        </w:rPr>
      </w:pPr>
      <w:r w:rsidRPr="005C7E77">
        <w:rPr>
          <w:rFonts w:ascii="Arial" w:hAnsi="Arial" w:cs="Arial"/>
          <w:sz w:val="18"/>
          <w:szCs w:val="18"/>
        </w:rPr>
        <w:t>No  se aplica normatividad supletoria diferente a lo que nos marca Contabilidad Gubernamental.</w:t>
      </w:r>
    </w:p>
    <w:p w:rsidR="0051592E" w:rsidRPr="005C7E77" w:rsidRDefault="0051592E" w:rsidP="0051592E">
      <w:pPr>
        <w:jc w:val="both"/>
        <w:rPr>
          <w:rFonts w:ascii="Arial" w:hAnsi="Arial" w:cs="Arial"/>
          <w:sz w:val="18"/>
          <w:szCs w:val="18"/>
        </w:rPr>
      </w:pPr>
      <w:r w:rsidRPr="005C7E77">
        <w:rPr>
          <w:rFonts w:ascii="Arial" w:hAnsi="Arial" w:cs="Arial"/>
          <w:sz w:val="18"/>
          <w:szCs w:val="18"/>
        </w:rPr>
        <w:t>e) Para las entidades que por primera vez estén implementando la base devengado de acuerdo a la Ley de Contabilidad, deberán:</w:t>
      </w:r>
    </w:p>
    <w:p w:rsidR="0051592E" w:rsidRPr="005C7E77" w:rsidRDefault="0051592E" w:rsidP="00DF41A4">
      <w:pPr>
        <w:spacing w:after="0" w:line="360" w:lineRule="auto"/>
        <w:jc w:val="both"/>
        <w:rPr>
          <w:rFonts w:ascii="Arial" w:hAnsi="Arial" w:cs="Arial"/>
          <w:sz w:val="18"/>
          <w:szCs w:val="18"/>
        </w:rPr>
      </w:pPr>
      <w:r w:rsidRPr="005C7E77">
        <w:rPr>
          <w:rFonts w:cs="Arial"/>
          <w:sz w:val="18"/>
          <w:szCs w:val="18"/>
        </w:rPr>
        <w:t>‐</w:t>
      </w:r>
      <w:r w:rsidRPr="005C7E77">
        <w:rPr>
          <w:rFonts w:ascii="Arial" w:hAnsi="Arial" w:cs="Arial"/>
          <w:sz w:val="18"/>
          <w:szCs w:val="18"/>
        </w:rPr>
        <w:t>Revelar las nuevas políticas de reconocimiento:</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La Dirección General de Contabilidad Gubernamental, dará la debida contestación en el tomo de cuenta pública, a esta pregunta en concreto</w:t>
      </w:r>
    </w:p>
    <w:p w:rsidR="0051592E" w:rsidRPr="005C7E77" w:rsidRDefault="0051592E" w:rsidP="00DF41A4">
      <w:pPr>
        <w:spacing w:after="0" w:line="360" w:lineRule="auto"/>
        <w:jc w:val="both"/>
        <w:rPr>
          <w:rFonts w:ascii="Arial" w:hAnsi="Arial" w:cs="Arial"/>
          <w:sz w:val="18"/>
          <w:szCs w:val="18"/>
        </w:rPr>
      </w:pPr>
      <w:r w:rsidRPr="005C7E77">
        <w:rPr>
          <w:rFonts w:cs="Arial"/>
          <w:sz w:val="18"/>
          <w:szCs w:val="18"/>
        </w:rPr>
        <w:t>‐</w:t>
      </w:r>
      <w:r w:rsidRPr="005C7E77">
        <w:rPr>
          <w:rFonts w:ascii="Arial" w:hAnsi="Arial" w:cs="Arial"/>
          <w:sz w:val="18"/>
          <w:szCs w:val="18"/>
        </w:rPr>
        <w:t>Plan de implementación:</w:t>
      </w:r>
    </w:p>
    <w:p w:rsidR="0051592E" w:rsidRDefault="0051592E" w:rsidP="00DF41A4">
      <w:pPr>
        <w:spacing w:after="0" w:line="360" w:lineRule="auto"/>
        <w:jc w:val="both"/>
        <w:rPr>
          <w:rFonts w:ascii="Arial" w:hAnsi="Arial" w:cs="Arial"/>
          <w:sz w:val="18"/>
          <w:szCs w:val="18"/>
        </w:rPr>
      </w:pPr>
      <w:r w:rsidRPr="005C7E77">
        <w:rPr>
          <w:rFonts w:ascii="Arial" w:hAnsi="Arial" w:cs="Arial"/>
          <w:sz w:val="18"/>
          <w:szCs w:val="18"/>
        </w:rPr>
        <w:t>La Dirección General de Contabilidad Gubernamental, dará la debida contestación en el tomo de cuenta pública, a esta pregunta en concreto.</w:t>
      </w:r>
    </w:p>
    <w:p w:rsidR="00DF41A4" w:rsidRPr="00DF41A4" w:rsidRDefault="00DF41A4" w:rsidP="00DF41A4">
      <w:pPr>
        <w:spacing w:after="0" w:line="360" w:lineRule="auto"/>
        <w:jc w:val="both"/>
        <w:rPr>
          <w:rFonts w:ascii="Arial" w:hAnsi="Arial" w:cs="Arial"/>
          <w:sz w:val="18"/>
          <w:szCs w:val="18"/>
        </w:rPr>
      </w:pPr>
    </w:p>
    <w:p w:rsidR="0051592E" w:rsidRPr="005C7E77" w:rsidRDefault="0051592E" w:rsidP="0051592E">
      <w:pPr>
        <w:jc w:val="both"/>
        <w:rPr>
          <w:rFonts w:ascii="Arial" w:hAnsi="Arial" w:cs="Arial"/>
          <w:sz w:val="18"/>
          <w:szCs w:val="18"/>
        </w:rPr>
      </w:pPr>
      <w:r w:rsidRPr="005C7E77">
        <w:rPr>
          <w:rFonts w:cs="Arial"/>
          <w:sz w:val="18"/>
          <w:szCs w:val="18"/>
        </w:rPr>
        <w:t>‐</w:t>
      </w:r>
      <w:r w:rsidRPr="005C7E77">
        <w:rPr>
          <w:rFonts w:ascii="Arial" w:hAnsi="Arial" w:cs="Arial"/>
          <w:sz w:val="18"/>
          <w:szCs w:val="18"/>
        </w:rPr>
        <w:t>Revelar los cambios en las políticas, la clasificación y medición de las mismas, así como su impacto en la información financiera:</w:t>
      </w:r>
    </w:p>
    <w:p w:rsidR="0051592E" w:rsidRPr="005C7E77" w:rsidRDefault="0051592E" w:rsidP="0051592E">
      <w:pPr>
        <w:jc w:val="both"/>
        <w:rPr>
          <w:rFonts w:ascii="Arial" w:hAnsi="Arial" w:cs="Arial"/>
          <w:sz w:val="18"/>
          <w:szCs w:val="18"/>
        </w:rPr>
      </w:pPr>
      <w:r w:rsidRPr="005C7E77">
        <w:rPr>
          <w:rFonts w:ascii="Arial" w:hAnsi="Arial" w:cs="Arial"/>
          <w:sz w:val="18"/>
          <w:szCs w:val="18"/>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6. Políticas de Contabilidad Significativas: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a) Actualización: </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b) Informar sobre la realización de operaciones en el extranjero y de sus efectos en la información financiera gubernamental:</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c) Método de valuación de la inversión en acciones de Compañías subsidiarias no consolidadas y asociadas: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lastRenderedPageBreak/>
        <w:t>d) Sistema y método de valuación de inventarios y costo de lo vendido:</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w:t>
      </w:r>
      <w:r w:rsidR="00446C6B">
        <w:rPr>
          <w:rFonts w:ascii="Arial" w:hAnsi="Arial" w:cs="Arial"/>
          <w:sz w:val="18"/>
          <w:szCs w:val="18"/>
        </w:rPr>
        <w:t>rsidad Tecnológica del Norte de Guanajuato</w:t>
      </w:r>
      <w:r w:rsidRPr="005C7E77">
        <w:rPr>
          <w:rFonts w:ascii="Arial" w:hAnsi="Arial" w:cs="Arial"/>
          <w:sz w:val="18"/>
          <w:szCs w:val="18"/>
        </w:rPr>
        <w:t xml:space="preserve"> al ser una Institución Educativa no tiene inventarios y por ende costo de lo vendido.</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e) Beneficios a empleados: </w:t>
      </w:r>
    </w:p>
    <w:p w:rsidR="0051592E" w:rsidRPr="005C7E77" w:rsidRDefault="00D06C5A" w:rsidP="0051592E">
      <w:pPr>
        <w:jc w:val="both"/>
        <w:rPr>
          <w:rFonts w:ascii="Arial" w:hAnsi="Arial" w:cs="Arial"/>
          <w:sz w:val="18"/>
          <w:szCs w:val="18"/>
        </w:rPr>
      </w:pPr>
      <w:r>
        <w:rPr>
          <w:rFonts w:ascii="Arial" w:hAnsi="Arial" w:cs="Arial"/>
          <w:sz w:val="18"/>
          <w:szCs w:val="18"/>
        </w:rPr>
        <w:t>La Universidad Tecnológica del Norte de Guanajuato otorga todos los beneficios que se especifican en la plantilla emitida por la Subsecretaría  de Educación Superior,</w:t>
      </w:r>
      <w:r w:rsidR="00494DBD">
        <w:rPr>
          <w:rFonts w:ascii="Arial" w:hAnsi="Arial" w:cs="Arial"/>
          <w:sz w:val="18"/>
          <w:szCs w:val="18"/>
        </w:rPr>
        <w:t xml:space="preserve"> Coordinación de Universidades Tecnológicas y Politécnicas </w:t>
      </w:r>
      <w:r>
        <w:rPr>
          <w:rFonts w:ascii="Arial" w:hAnsi="Arial" w:cs="Arial"/>
          <w:sz w:val="18"/>
          <w:szCs w:val="18"/>
        </w:rPr>
        <w:t xml:space="preserve"> adscrita</w:t>
      </w:r>
      <w:r w:rsidR="00494DBD">
        <w:rPr>
          <w:rFonts w:ascii="Arial" w:hAnsi="Arial" w:cs="Arial"/>
          <w:sz w:val="18"/>
          <w:szCs w:val="18"/>
        </w:rPr>
        <w:t>s</w:t>
      </w:r>
      <w:r>
        <w:rPr>
          <w:rFonts w:ascii="Arial" w:hAnsi="Arial" w:cs="Arial"/>
          <w:sz w:val="18"/>
          <w:szCs w:val="18"/>
        </w:rPr>
        <w:t xml:space="preserve"> a la Secretaría de Educación Pública, así como a las autorizaciones emitidas por el H. Consejo Directivo de la institución. </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f) Provisiones: </w:t>
      </w:r>
    </w:p>
    <w:p w:rsidR="0051592E" w:rsidRPr="005C7E77" w:rsidRDefault="0051592E" w:rsidP="0051592E">
      <w:pPr>
        <w:jc w:val="both"/>
        <w:rPr>
          <w:rFonts w:ascii="Arial" w:hAnsi="Arial" w:cs="Arial"/>
          <w:sz w:val="18"/>
          <w:szCs w:val="18"/>
        </w:rPr>
      </w:pPr>
      <w:r w:rsidRPr="005C7E77">
        <w:rPr>
          <w:rFonts w:ascii="Arial" w:hAnsi="Arial" w:cs="Arial"/>
          <w:sz w:val="18"/>
          <w:szCs w:val="18"/>
        </w:rPr>
        <w:t>Se contaba con una provisión denominada reserva de prestaciones de antigüedad, cuyo saldo se agotó en el mes de diciembre de 2014, por lo que a la fecha dicha cuenta esta sin saldo.</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g) Reservas: </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actualmente tiene un fondo de contingencia para dar certidumbre a los quehaceres de la Institución, por un monto de $ 6’</w:t>
      </w:r>
      <w:r w:rsidR="0002103E">
        <w:rPr>
          <w:rFonts w:ascii="Arial" w:hAnsi="Arial" w:cs="Arial"/>
          <w:sz w:val="18"/>
          <w:szCs w:val="18"/>
        </w:rPr>
        <w:t>330</w:t>
      </w:r>
      <w:r w:rsidRPr="005C7E77">
        <w:rPr>
          <w:rFonts w:ascii="Arial" w:hAnsi="Arial" w:cs="Arial"/>
          <w:sz w:val="18"/>
          <w:szCs w:val="18"/>
        </w:rPr>
        <w:t>,</w:t>
      </w:r>
      <w:r w:rsidR="0006302F">
        <w:rPr>
          <w:rFonts w:ascii="Arial" w:hAnsi="Arial" w:cs="Arial"/>
          <w:sz w:val="18"/>
          <w:szCs w:val="18"/>
        </w:rPr>
        <w:t>233.00</w:t>
      </w:r>
      <w:r w:rsidRPr="005C7E77">
        <w:rPr>
          <w:rFonts w:ascii="Arial" w:hAnsi="Arial" w:cs="Arial"/>
          <w:sz w:val="18"/>
          <w:szCs w:val="18"/>
        </w:rPr>
        <w:t xml:space="preserve"> y su plazo es indefinido o hasta agotar su saldo.</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h) Cambios en políticas contables y corrección de errores junto con la revelación de los efectos que se tendrá en la información financiera del ente público, ya sea retrospectivos o prospectivos:</w:t>
      </w:r>
    </w:p>
    <w:p w:rsidR="0051592E" w:rsidRPr="005C7E77" w:rsidRDefault="0051592E" w:rsidP="0051592E">
      <w:pPr>
        <w:jc w:val="both"/>
        <w:rPr>
          <w:rFonts w:ascii="Arial" w:hAnsi="Arial" w:cs="Arial"/>
          <w:sz w:val="18"/>
          <w:szCs w:val="18"/>
        </w:rPr>
      </w:pPr>
      <w:r w:rsidRPr="005C7E77">
        <w:rPr>
          <w:rFonts w:ascii="Arial" w:hAnsi="Arial" w:cs="Arial"/>
          <w:sz w:val="18"/>
          <w:szCs w:val="18"/>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i) Reclasificaciones: </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j) Depuración y cancelación de saldos</w:t>
      </w:r>
    </w:p>
    <w:p w:rsidR="0051592E" w:rsidRPr="005C7E77" w:rsidRDefault="0051592E" w:rsidP="0051592E">
      <w:pPr>
        <w:jc w:val="both"/>
        <w:rPr>
          <w:rFonts w:ascii="Arial" w:hAnsi="Arial" w:cs="Arial"/>
          <w:sz w:val="18"/>
          <w:szCs w:val="18"/>
        </w:rPr>
      </w:pPr>
      <w:r w:rsidRPr="005C7E77">
        <w:rPr>
          <w:rFonts w:ascii="Arial" w:hAnsi="Arial" w:cs="Arial"/>
          <w:sz w:val="18"/>
          <w:szCs w:val="18"/>
        </w:rPr>
        <w:t>Cuando es necesario por cuestiones de costo beneficio la Universidad  ha depurado algunas cuentas, siempre y cuando el saldo no sea significativo por lo regular menor a $ 1,000.00 y una vez agotado  los procesos internos.</w:t>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7. Posición en Moneda Extranjera y Protección por Riesgo Cambiario:</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a) Activos en moneda extranjera: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b) Pasivos en moneda extranjera: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lastRenderedPageBreak/>
        <w:t>c) Posición en moneda extranjera: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d) Tipo de cambio</w:t>
      </w:r>
    </w:p>
    <w:p w:rsidR="0051592E" w:rsidRPr="005C7E77" w:rsidRDefault="0051592E" w:rsidP="0051592E">
      <w:pPr>
        <w:jc w:val="both"/>
        <w:rPr>
          <w:rFonts w:ascii="Arial" w:hAnsi="Arial" w:cs="Arial"/>
          <w:sz w:val="18"/>
          <w:szCs w:val="18"/>
        </w:rPr>
      </w:pPr>
      <w:r w:rsidRPr="005C7E77">
        <w:rPr>
          <w:rFonts w:ascii="Arial" w:hAnsi="Arial" w:cs="Arial"/>
          <w:sz w:val="18"/>
          <w:szCs w:val="18"/>
        </w:rPr>
        <w:t>Es usado el tipo que maneja el Banco de México a la fecha que se requiera, en la compra de un bien en el extranjero y su contabilización en la Institución invariablemente es en pesos mexicanos.</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e) Equivalente en moneda nacional:</w:t>
      </w:r>
    </w:p>
    <w:p w:rsidR="0051592E" w:rsidRPr="005C7E77" w:rsidRDefault="0051592E" w:rsidP="0051592E">
      <w:pPr>
        <w:jc w:val="both"/>
        <w:rPr>
          <w:rFonts w:ascii="Arial" w:hAnsi="Arial" w:cs="Arial"/>
          <w:sz w:val="18"/>
          <w:szCs w:val="18"/>
        </w:rPr>
      </w:pPr>
      <w:r w:rsidRPr="005C7E77">
        <w:rPr>
          <w:rFonts w:ascii="Arial" w:hAnsi="Arial" w:cs="Arial"/>
          <w:sz w:val="18"/>
          <w:szCs w:val="18"/>
        </w:rPr>
        <w:t>Su contabilización como ya se mencionó anteriormente es en moneda nacional.</w:t>
      </w:r>
    </w:p>
    <w:p w:rsidR="0051592E" w:rsidRPr="005C7E77" w:rsidRDefault="0051592E" w:rsidP="0051592E">
      <w:pPr>
        <w:jc w:val="both"/>
        <w:rPr>
          <w:rFonts w:ascii="Arial" w:hAnsi="Arial" w:cs="Arial"/>
          <w:sz w:val="18"/>
          <w:szCs w:val="18"/>
        </w:rPr>
      </w:pPr>
      <w:r w:rsidRPr="005C7E77">
        <w:rPr>
          <w:rFonts w:ascii="Arial" w:hAnsi="Arial" w:cs="Arial"/>
          <w:sz w:val="18"/>
          <w:szCs w:val="18"/>
        </w:rPr>
        <w:t>Lo anterior por cada tipo de moneda extranjera que se encuentre en los rubros de activo y pasivo.</w:t>
      </w:r>
    </w:p>
    <w:p w:rsidR="0051592E" w:rsidRPr="005C7E77" w:rsidRDefault="0051592E" w:rsidP="0051592E">
      <w:pPr>
        <w:jc w:val="both"/>
        <w:rPr>
          <w:rFonts w:ascii="Arial" w:hAnsi="Arial" w:cs="Arial"/>
          <w:sz w:val="18"/>
          <w:szCs w:val="18"/>
        </w:rPr>
      </w:pPr>
      <w:r w:rsidRPr="005C7E77">
        <w:rPr>
          <w:rFonts w:ascii="Arial" w:hAnsi="Arial" w:cs="Arial"/>
          <w:sz w:val="18"/>
          <w:szCs w:val="18"/>
        </w:rPr>
        <w:t>Adicionalmente se informará sobre los métodos de protección de riesgo por variaciones en el tipo de cambio.</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8. Reporte Analítico del Activo:</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sz w:val="18"/>
          <w:szCs w:val="18"/>
        </w:rPr>
        <w:tab/>
      </w:r>
      <w:r w:rsidRPr="005C7E77">
        <w:rPr>
          <w:rFonts w:ascii="Arial" w:hAnsi="Arial" w:cs="Arial"/>
          <w:sz w:val="18"/>
          <w:szCs w:val="18"/>
        </w:rPr>
        <w:tab/>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a) Vida útil o porcentajes de depreciación, deterioro o amortización utilizados en los diferentes tipos de activos:</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La Dirección General de Contabilidad Gubernamental, dará la debida contestación en el tomo de cuenta pública, a esta pregunta en concreto. </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b) Cambios en el porcentaje de depreciación o valor residual de los activos:</w:t>
      </w:r>
    </w:p>
    <w:p w:rsidR="0051592E" w:rsidRPr="005C7E77" w:rsidRDefault="0051592E" w:rsidP="0051592E">
      <w:pPr>
        <w:jc w:val="both"/>
        <w:rPr>
          <w:rFonts w:ascii="Arial" w:hAnsi="Arial" w:cs="Arial"/>
          <w:sz w:val="18"/>
          <w:szCs w:val="18"/>
        </w:rPr>
      </w:pPr>
      <w:r w:rsidRPr="005C7E77">
        <w:rPr>
          <w:rFonts w:ascii="Arial" w:hAnsi="Arial" w:cs="Arial"/>
          <w:sz w:val="18"/>
          <w:szCs w:val="18"/>
        </w:rPr>
        <w:t>De conformidad con la norma de CONAC y los alcances del SIHP, actualmente solo pueden considerarse las 40 clases de activos vigentes que se manejan en el sistema R-3.</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c) Importe de los gastos capitalizados en el ejercicio, tanto financieros como de investigación y desarrollo:</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Capitalización ingresos propios                 </w:t>
      </w:r>
      <w:r w:rsidR="00B05FC0">
        <w:rPr>
          <w:rFonts w:ascii="Arial" w:hAnsi="Arial" w:cs="Arial"/>
          <w:sz w:val="18"/>
          <w:szCs w:val="18"/>
        </w:rPr>
        <w:t>38,450.47</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Capitalización remanentes federales      </w:t>
      </w:r>
      <w:r w:rsidR="00901D3C">
        <w:rPr>
          <w:rFonts w:ascii="Arial" w:hAnsi="Arial" w:cs="Arial"/>
          <w:sz w:val="18"/>
          <w:szCs w:val="18"/>
        </w:rPr>
        <w:t>7</w:t>
      </w:r>
      <w:r w:rsidRPr="005C7E77">
        <w:rPr>
          <w:rFonts w:ascii="Arial" w:hAnsi="Arial" w:cs="Arial"/>
          <w:sz w:val="18"/>
          <w:szCs w:val="18"/>
        </w:rPr>
        <w:t>’0</w:t>
      </w:r>
      <w:r w:rsidR="00901D3C">
        <w:rPr>
          <w:rFonts w:ascii="Arial" w:hAnsi="Arial" w:cs="Arial"/>
          <w:sz w:val="18"/>
          <w:szCs w:val="18"/>
        </w:rPr>
        <w:t>47,027</w:t>
      </w:r>
      <w:r w:rsidRPr="005C7E77">
        <w:rPr>
          <w:rFonts w:ascii="Arial" w:hAnsi="Arial" w:cs="Arial"/>
          <w:sz w:val="18"/>
          <w:szCs w:val="18"/>
        </w:rPr>
        <w:t>.</w:t>
      </w:r>
      <w:r w:rsidR="00901D3C">
        <w:rPr>
          <w:rFonts w:ascii="Arial" w:hAnsi="Arial" w:cs="Arial"/>
          <w:sz w:val="18"/>
          <w:szCs w:val="18"/>
        </w:rPr>
        <w:t>45</w:t>
      </w:r>
    </w:p>
    <w:p w:rsidR="0051592E" w:rsidRPr="005C7E77" w:rsidRDefault="0051592E" w:rsidP="0051592E">
      <w:pPr>
        <w:jc w:val="both"/>
        <w:rPr>
          <w:rFonts w:ascii="Arial" w:hAnsi="Arial" w:cs="Arial"/>
          <w:sz w:val="18"/>
          <w:szCs w:val="18"/>
        </w:rPr>
      </w:pPr>
      <w:r w:rsidRPr="005C7E77">
        <w:rPr>
          <w:rFonts w:ascii="Arial" w:hAnsi="Arial" w:cs="Arial"/>
          <w:sz w:val="18"/>
          <w:szCs w:val="18"/>
        </w:rPr>
        <w:t>d) Riesgos por tipo de cambio o tipo de interés de las inversiones financieras:</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51592E" w:rsidRPr="005C7E77" w:rsidRDefault="0051592E" w:rsidP="0051592E">
      <w:pPr>
        <w:jc w:val="both"/>
        <w:rPr>
          <w:rFonts w:ascii="Arial" w:hAnsi="Arial" w:cs="Arial"/>
          <w:sz w:val="18"/>
          <w:szCs w:val="18"/>
        </w:rPr>
      </w:pPr>
      <w:r w:rsidRPr="005C7E77">
        <w:rPr>
          <w:rFonts w:ascii="Arial" w:hAnsi="Arial" w:cs="Arial"/>
          <w:sz w:val="18"/>
          <w:szCs w:val="18"/>
        </w:rPr>
        <w:t>e) Valor activado en el ejercicio de los bienes construidos por la entidad:</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Construcción del Gimnasio Auditorio (obra complementaria)       </w:t>
      </w:r>
      <w:r w:rsidR="00181AEE">
        <w:rPr>
          <w:rFonts w:ascii="Arial" w:hAnsi="Arial" w:cs="Arial"/>
          <w:sz w:val="18"/>
          <w:szCs w:val="18"/>
        </w:rPr>
        <w:t>0.00</w:t>
      </w:r>
    </w:p>
    <w:p w:rsidR="0051592E" w:rsidRPr="005C7E77" w:rsidRDefault="0051592E" w:rsidP="0051592E">
      <w:pPr>
        <w:jc w:val="both"/>
        <w:rPr>
          <w:rFonts w:ascii="Arial" w:hAnsi="Arial" w:cs="Arial"/>
          <w:sz w:val="18"/>
          <w:szCs w:val="18"/>
        </w:rPr>
      </w:pPr>
      <w:r w:rsidRPr="005C7E77">
        <w:rPr>
          <w:rFonts w:ascii="Arial"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g) Desmantelamiento de Activos, procedimientos, implicaciones, efectos contables:</w:t>
      </w:r>
    </w:p>
    <w:p w:rsidR="0051592E" w:rsidRPr="005C7E77" w:rsidRDefault="0051592E" w:rsidP="0051592E">
      <w:pPr>
        <w:jc w:val="both"/>
        <w:rPr>
          <w:rFonts w:ascii="Arial" w:hAnsi="Arial" w:cs="Arial"/>
          <w:sz w:val="18"/>
          <w:szCs w:val="18"/>
        </w:rPr>
      </w:pPr>
      <w:r w:rsidRPr="005C7E77">
        <w:rPr>
          <w:rFonts w:ascii="Arial" w:hAnsi="Arial" w:cs="Arial"/>
          <w:sz w:val="18"/>
          <w:szCs w:val="18"/>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51592E" w:rsidRPr="005C7E77" w:rsidRDefault="0051592E" w:rsidP="0051592E">
      <w:pPr>
        <w:jc w:val="both"/>
        <w:rPr>
          <w:rFonts w:ascii="Arial" w:hAnsi="Arial" w:cs="Arial"/>
          <w:sz w:val="18"/>
          <w:szCs w:val="18"/>
        </w:rPr>
      </w:pPr>
      <w:r w:rsidRPr="005C7E77">
        <w:rPr>
          <w:rFonts w:ascii="Arial" w:hAnsi="Arial" w:cs="Arial"/>
          <w:sz w:val="18"/>
          <w:szCs w:val="18"/>
        </w:rPr>
        <w:t>h) Administración de activos; planeación con el objetivo de que el ente los utilice de manera más efectiva:</w:t>
      </w:r>
    </w:p>
    <w:p w:rsidR="0051592E" w:rsidRPr="005C7E77" w:rsidRDefault="0051592E" w:rsidP="0051592E">
      <w:pPr>
        <w:jc w:val="both"/>
        <w:rPr>
          <w:rFonts w:ascii="Arial" w:hAnsi="Arial" w:cs="Arial"/>
          <w:sz w:val="18"/>
          <w:szCs w:val="18"/>
        </w:rPr>
      </w:pPr>
      <w:r w:rsidRPr="005C7E77">
        <w:rPr>
          <w:rFonts w:ascii="Arial" w:hAnsi="Arial" w:cs="Arial"/>
          <w:sz w:val="18"/>
          <w:szCs w:val="18"/>
        </w:rPr>
        <w:t>Los activos de la institución se encuentran bajo inventario, resguardo y control.</w:t>
      </w:r>
    </w:p>
    <w:p w:rsidR="0051592E" w:rsidRPr="005C7E77" w:rsidRDefault="0051592E" w:rsidP="0051592E">
      <w:pPr>
        <w:jc w:val="both"/>
        <w:rPr>
          <w:rFonts w:ascii="Arial" w:hAnsi="Arial" w:cs="Arial"/>
          <w:sz w:val="18"/>
          <w:szCs w:val="18"/>
        </w:rPr>
      </w:pPr>
      <w:r w:rsidRPr="005C7E77">
        <w:rPr>
          <w:rFonts w:ascii="Arial" w:hAnsi="Arial" w:cs="Arial"/>
          <w:sz w:val="18"/>
          <w:szCs w:val="18"/>
        </w:rPr>
        <w:t>Cada adquisición de activos se realiza bajo un proyecto donde se indica el objetivo, el fondo, el impacto y los beneficiarios.</w:t>
      </w:r>
    </w:p>
    <w:p w:rsidR="0051592E" w:rsidRPr="005C7E77" w:rsidRDefault="0051592E" w:rsidP="0051592E">
      <w:pPr>
        <w:jc w:val="both"/>
        <w:rPr>
          <w:rFonts w:ascii="Arial" w:hAnsi="Arial" w:cs="Arial"/>
          <w:sz w:val="18"/>
          <w:szCs w:val="18"/>
        </w:rPr>
      </w:pPr>
      <w:r w:rsidRPr="005C7E77">
        <w:rPr>
          <w:rFonts w:ascii="Arial" w:hAnsi="Arial" w:cs="Arial"/>
          <w:sz w:val="18"/>
          <w:szCs w:val="18"/>
        </w:rPr>
        <w:t>Así mismo, existe uso adecuado para la razón de ser de la institución, ya sea para la academia, la vinculación o para respaldar los procesos de operación en la gestión institucional.</w:t>
      </w:r>
    </w:p>
    <w:p w:rsidR="0051592E" w:rsidRPr="005C7E77" w:rsidRDefault="0051592E" w:rsidP="0051592E">
      <w:pPr>
        <w:jc w:val="both"/>
        <w:rPr>
          <w:rFonts w:ascii="Arial" w:hAnsi="Arial" w:cs="Arial"/>
          <w:sz w:val="18"/>
          <w:szCs w:val="18"/>
        </w:rPr>
      </w:pPr>
      <w:r w:rsidRPr="005C7E77">
        <w:rPr>
          <w:rFonts w:ascii="Arial" w:hAnsi="Arial" w:cs="Arial"/>
          <w:sz w:val="18"/>
          <w:szCs w:val="18"/>
        </w:rPr>
        <w:t>Adicionalmente, se deben incluir las explicaciones de las principales variaciones en el activo, en cuadros comparativos como sigue:</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a) Inversiones en valores: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b) Patrimonio de Organismos descentralizados de Control Presupuestario Indirecto:</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c) Inversiones en empresas de participación mayoritaria: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d) Inversiones en empresas de participación minoritaria: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rPr>
          <w:rFonts w:ascii="Arial" w:hAnsi="Arial" w:cs="Arial"/>
          <w:sz w:val="18"/>
          <w:szCs w:val="18"/>
        </w:rPr>
      </w:pPr>
      <w:r w:rsidRPr="005C7E77">
        <w:rPr>
          <w:rFonts w:ascii="Arial" w:hAnsi="Arial" w:cs="Arial"/>
          <w:sz w:val="18"/>
          <w:szCs w:val="18"/>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51592E" w:rsidRPr="005C7E77" w:rsidTr="002F0524">
        <w:tc>
          <w:tcPr>
            <w:tcW w:w="2992" w:type="dxa"/>
            <w:shd w:val="clear" w:color="auto" w:fill="auto"/>
          </w:tcPr>
          <w:p w:rsidR="0051592E" w:rsidRPr="00F5389C" w:rsidRDefault="0051592E" w:rsidP="002F0524">
            <w:pPr>
              <w:spacing w:after="0" w:line="240" w:lineRule="auto"/>
              <w:jc w:val="center"/>
              <w:rPr>
                <w:rFonts w:ascii="Arial" w:hAnsi="Arial" w:cs="Arial"/>
                <w:b/>
                <w:sz w:val="18"/>
                <w:szCs w:val="18"/>
              </w:rPr>
            </w:pPr>
            <w:r w:rsidRPr="00F5389C">
              <w:rPr>
                <w:rFonts w:ascii="Arial" w:hAnsi="Arial" w:cs="Arial"/>
                <w:b/>
                <w:sz w:val="18"/>
                <w:szCs w:val="18"/>
              </w:rPr>
              <w:t>CONCEPTO</w:t>
            </w:r>
          </w:p>
        </w:tc>
        <w:tc>
          <w:tcPr>
            <w:tcW w:w="2993" w:type="dxa"/>
            <w:shd w:val="clear" w:color="auto" w:fill="auto"/>
          </w:tcPr>
          <w:p w:rsidR="0051592E" w:rsidRPr="00F5389C" w:rsidRDefault="0051592E" w:rsidP="007761BA">
            <w:pPr>
              <w:spacing w:after="0" w:line="240" w:lineRule="auto"/>
              <w:jc w:val="center"/>
              <w:rPr>
                <w:rFonts w:ascii="Arial" w:hAnsi="Arial" w:cs="Arial"/>
                <w:b/>
                <w:sz w:val="18"/>
                <w:szCs w:val="18"/>
              </w:rPr>
            </w:pPr>
            <w:r w:rsidRPr="00F5389C">
              <w:rPr>
                <w:rFonts w:ascii="Arial" w:hAnsi="Arial" w:cs="Arial"/>
                <w:b/>
                <w:sz w:val="18"/>
                <w:szCs w:val="18"/>
              </w:rPr>
              <w:t>SALDO AL 31 DICIEMBRE 201</w:t>
            </w:r>
            <w:r w:rsidR="007761BA" w:rsidRPr="00F5389C">
              <w:rPr>
                <w:rFonts w:ascii="Arial" w:hAnsi="Arial" w:cs="Arial"/>
                <w:b/>
                <w:sz w:val="18"/>
                <w:szCs w:val="18"/>
              </w:rPr>
              <w:t>4</w:t>
            </w:r>
          </w:p>
        </w:tc>
        <w:tc>
          <w:tcPr>
            <w:tcW w:w="2993" w:type="dxa"/>
            <w:shd w:val="clear" w:color="auto" w:fill="auto"/>
          </w:tcPr>
          <w:p w:rsidR="0051592E" w:rsidRPr="00F5389C" w:rsidRDefault="0051592E" w:rsidP="007761BA">
            <w:pPr>
              <w:spacing w:after="0" w:line="240" w:lineRule="auto"/>
              <w:jc w:val="center"/>
              <w:rPr>
                <w:rFonts w:ascii="Arial" w:hAnsi="Arial" w:cs="Arial"/>
                <w:b/>
                <w:sz w:val="18"/>
                <w:szCs w:val="18"/>
              </w:rPr>
            </w:pPr>
            <w:r w:rsidRPr="00F5389C">
              <w:rPr>
                <w:rFonts w:ascii="Arial" w:hAnsi="Arial" w:cs="Arial"/>
                <w:b/>
                <w:sz w:val="18"/>
                <w:szCs w:val="18"/>
              </w:rPr>
              <w:t xml:space="preserve">SALDO AL 31 DE </w:t>
            </w:r>
            <w:r w:rsidR="007761BA" w:rsidRPr="00F5389C">
              <w:rPr>
                <w:rFonts w:ascii="Arial" w:hAnsi="Arial" w:cs="Arial"/>
                <w:b/>
                <w:sz w:val="18"/>
                <w:szCs w:val="18"/>
              </w:rPr>
              <w:t>MARZO</w:t>
            </w:r>
            <w:r w:rsidRPr="00F5389C">
              <w:rPr>
                <w:rFonts w:ascii="Arial" w:hAnsi="Arial" w:cs="Arial"/>
                <w:b/>
                <w:sz w:val="18"/>
                <w:szCs w:val="18"/>
              </w:rPr>
              <w:t xml:space="preserve"> DE 201</w:t>
            </w:r>
            <w:r w:rsidR="007761BA" w:rsidRPr="00F5389C">
              <w:rPr>
                <w:rFonts w:ascii="Arial" w:hAnsi="Arial" w:cs="Arial"/>
                <w:b/>
                <w:sz w:val="18"/>
                <w:szCs w:val="18"/>
              </w:rPr>
              <w:t>5</w:t>
            </w:r>
          </w:p>
        </w:tc>
      </w:tr>
      <w:tr w:rsidR="00AB129B" w:rsidRPr="005C7E77" w:rsidTr="002F0524">
        <w:tc>
          <w:tcPr>
            <w:tcW w:w="2992" w:type="dxa"/>
            <w:shd w:val="clear" w:color="auto" w:fill="auto"/>
          </w:tcPr>
          <w:p w:rsidR="00AB129B" w:rsidRPr="005C7E77" w:rsidRDefault="00AB129B" w:rsidP="002F0524">
            <w:pPr>
              <w:spacing w:after="0" w:line="240" w:lineRule="auto"/>
              <w:jc w:val="both"/>
              <w:rPr>
                <w:rFonts w:ascii="Arial" w:hAnsi="Arial" w:cs="Arial"/>
                <w:sz w:val="18"/>
                <w:szCs w:val="18"/>
              </w:rPr>
            </w:pPr>
            <w:r w:rsidRPr="005C7E77">
              <w:rPr>
                <w:rFonts w:ascii="Arial" w:hAnsi="Arial" w:cs="Arial"/>
                <w:sz w:val="18"/>
                <w:szCs w:val="18"/>
              </w:rPr>
              <w:t>BIENES MUEBLES</w:t>
            </w:r>
          </w:p>
        </w:tc>
        <w:tc>
          <w:tcPr>
            <w:tcW w:w="2993" w:type="dxa"/>
            <w:shd w:val="clear" w:color="auto" w:fill="auto"/>
          </w:tcPr>
          <w:p w:rsidR="00AB129B" w:rsidRPr="005C7E77" w:rsidRDefault="00AB129B" w:rsidP="00C4437B">
            <w:pPr>
              <w:spacing w:after="0" w:line="240" w:lineRule="auto"/>
              <w:jc w:val="right"/>
              <w:rPr>
                <w:rFonts w:ascii="Arial" w:hAnsi="Arial" w:cs="Arial"/>
                <w:sz w:val="18"/>
                <w:szCs w:val="18"/>
              </w:rPr>
            </w:pPr>
            <w:r w:rsidRPr="005C7E77">
              <w:rPr>
                <w:rFonts w:ascii="Arial" w:hAnsi="Arial" w:cs="Arial"/>
                <w:sz w:val="18"/>
                <w:szCs w:val="18"/>
              </w:rPr>
              <w:t>84’520,080.12</w:t>
            </w:r>
          </w:p>
        </w:tc>
        <w:tc>
          <w:tcPr>
            <w:tcW w:w="2993" w:type="dxa"/>
            <w:shd w:val="clear" w:color="auto" w:fill="auto"/>
          </w:tcPr>
          <w:p w:rsidR="00AB129B" w:rsidRPr="005C7E77" w:rsidRDefault="00AB129B" w:rsidP="00AB129B">
            <w:pPr>
              <w:spacing w:after="0" w:line="240" w:lineRule="auto"/>
              <w:jc w:val="right"/>
              <w:rPr>
                <w:rFonts w:ascii="Arial" w:hAnsi="Arial" w:cs="Arial"/>
                <w:sz w:val="18"/>
                <w:szCs w:val="18"/>
              </w:rPr>
            </w:pPr>
            <w:r w:rsidRPr="005C7E77">
              <w:rPr>
                <w:rFonts w:ascii="Arial" w:hAnsi="Arial" w:cs="Arial"/>
                <w:sz w:val="18"/>
                <w:szCs w:val="18"/>
              </w:rPr>
              <w:t>8</w:t>
            </w:r>
            <w:r>
              <w:rPr>
                <w:rFonts w:ascii="Arial" w:hAnsi="Arial" w:cs="Arial"/>
                <w:sz w:val="18"/>
                <w:szCs w:val="18"/>
              </w:rPr>
              <w:t>3</w:t>
            </w:r>
            <w:r w:rsidRPr="005C7E77">
              <w:rPr>
                <w:rFonts w:ascii="Arial" w:hAnsi="Arial" w:cs="Arial"/>
                <w:sz w:val="18"/>
                <w:szCs w:val="18"/>
              </w:rPr>
              <w:t>’</w:t>
            </w:r>
            <w:r>
              <w:rPr>
                <w:rFonts w:ascii="Arial" w:hAnsi="Arial" w:cs="Arial"/>
                <w:sz w:val="18"/>
                <w:szCs w:val="18"/>
              </w:rPr>
              <w:t>714</w:t>
            </w:r>
            <w:r w:rsidRPr="005C7E77">
              <w:rPr>
                <w:rFonts w:ascii="Arial" w:hAnsi="Arial" w:cs="Arial"/>
                <w:sz w:val="18"/>
                <w:szCs w:val="18"/>
              </w:rPr>
              <w:t>,</w:t>
            </w:r>
            <w:r>
              <w:rPr>
                <w:rFonts w:ascii="Arial" w:hAnsi="Arial" w:cs="Arial"/>
                <w:sz w:val="18"/>
                <w:szCs w:val="18"/>
              </w:rPr>
              <w:t>755</w:t>
            </w:r>
            <w:r w:rsidRPr="005C7E77">
              <w:rPr>
                <w:rFonts w:ascii="Arial" w:hAnsi="Arial" w:cs="Arial"/>
                <w:sz w:val="18"/>
                <w:szCs w:val="18"/>
              </w:rPr>
              <w:t>.</w:t>
            </w:r>
            <w:r>
              <w:rPr>
                <w:rFonts w:ascii="Arial" w:hAnsi="Arial" w:cs="Arial"/>
                <w:sz w:val="18"/>
                <w:szCs w:val="18"/>
              </w:rPr>
              <w:t>63</w:t>
            </w:r>
          </w:p>
        </w:tc>
      </w:tr>
      <w:tr w:rsidR="00AB129B" w:rsidRPr="005C7E77" w:rsidTr="002F0524">
        <w:tc>
          <w:tcPr>
            <w:tcW w:w="2992" w:type="dxa"/>
            <w:shd w:val="clear" w:color="auto" w:fill="auto"/>
          </w:tcPr>
          <w:p w:rsidR="00AB129B" w:rsidRPr="005C7E77" w:rsidRDefault="00AB129B" w:rsidP="002F0524">
            <w:pPr>
              <w:spacing w:after="0" w:line="240" w:lineRule="auto"/>
              <w:jc w:val="both"/>
              <w:rPr>
                <w:rFonts w:ascii="Arial" w:hAnsi="Arial" w:cs="Arial"/>
                <w:sz w:val="18"/>
                <w:szCs w:val="18"/>
              </w:rPr>
            </w:pPr>
            <w:r w:rsidRPr="005C7E77">
              <w:rPr>
                <w:rFonts w:ascii="Arial" w:hAnsi="Arial" w:cs="Arial"/>
                <w:sz w:val="18"/>
                <w:szCs w:val="18"/>
              </w:rPr>
              <w:t>OBRA</w:t>
            </w:r>
          </w:p>
        </w:tc>
        <w:tc>
          <w:tcPr>
            <w:tcW w:w="2993" w:type="dxa"/>
            <w:shd w:val="clear" w:color="auto" w:fill="auto"/>
          </w:tcPr>
          <w:p w:rsidR="00AB129B" w:rsidRPr="005C7E77" w:rsidRDefault="00AB129B" w:rsidP="00C4437B">
            <w:pPr>
              <w:spacing w:after="0" w:line="240" w:lineRule="auto"/>
              <w:jc w:val="right"/>
              <w:rPr>
                <w:rFonts w:ascii="Arial" w:hAnsi="Arial" w:cs="Arial"/>
                <w:sz w:val="18"/>
                <w:szCs w:val="18"/>
              </w:rPr>
            </w:pPr>
            <w:r w:rsidRPr="005C7E77">
              <w:rPr>
                <w:rFonts w:ascii="Arial" w:hAnsi="Arial" w:cs="Arial"/>
                <w:sz w:val="18"/>
                <w:szCs w:val="18"/>
              </w:rPr>
              <w:t>96’802,481.90</w:t>
            </w:r>
          </w:p>
        </w:tc>
        <w:tc>
          <w:tcPr>
            <w:tcW w:w="2993" w:type="dxa"/>
            <w:shd w:val="clear" w:color="auto" w:fill="auto"/>
          </w:tcPr>
          <w:p w:rsidR="00AB129B" w:rsidRPr="005C7E77" w:rsidRDefault="00AB129B" w:rsidP="002F0524">
            <w:pPr>
              <w:spacing w:after="0" w:line="240" w:lineRule="auto"/>
              <w:jc w:val="right"/>
              <w:rPr>
                <w:rFonts w:ascii="Arial" w:hAnsi="Arial" w:cs="Arial"/>
                <w:sz w:val="18"/>
                <w:szCs w:val="18"/>
              </w:rPr>
            </w:pPr>
            <w:r w:rsidRPr="005C7E77">
              <w:rPr>
                <w:rFonts w:ascii="Arial" w:hAnsi="Arial" w:cs="Arial"/>
                <w:sz w:val="18"/>
                <w:szCs w:val="18"/>
              </w:rPr>
              <w:t>96’802,481.90</w:t>
            </w:r>
          </w:p>
        </w:tc>
      </w:tr>
    </w:tbl>
    <w:p w:rsidR="0051592E" w:rsidRPr="005C7E77" w:rsidRDefault="0051592E" w:rsidP="0051592E">
      <w:pPr>
        <w:jc w:val="both"/>
        <w:rPr>
          <w:rFonts w:ascii="Arial" w:hAnsi="Arial" w:cs="Arial"/>
          <w:b/>
          <w:sz w:val="18"/>
          <w:szCs w:val="18"/>
        </w:rPr>
      </w:pPr>
    </w:p>
    <w:p w:rsidR="0051592E" w:rsidRPr="005C7E77" w:rsidRDefault="0051592E" w:rsidP="0051592E">
      <w:pPr>
        <w:jc w:val="both"/>
        <w:rPr>
          <w:rFonts w:ascii="Arial" w:hAnsi="Arial" w:cs="Arial"/>
          <w:sz w:val="18"/>
          <w:szCs w:val="18"/>
        </w:rPr>
      </w:pPr>
      <w:r w:rsidRPr="005C7E77">
        <w:rPr>
          <w:rFonts w:ascii="Arial" w:hAnsi="Arial" w:cs="Arial"/>
          <w:sz w:val="18"/>
          <w:szCs w:val="18"/>
        </w:rPr>
        <w:t>Cabe hacer mención que a esta fecha, está pendiente de realizar la desincorporación de la Universidad Tecnológica de San Miguel de Allende</w:t>
      </w:r>
      <w:r w:rsidR="00DF41A4">
        <w:rPr>
          <w:rFonts w:ascii="Arial" w:hAnsi="Arial" w:cs="Arial"/>
          <w:sz w:val="18"/>
          <w:szCs w:val="18"/>
        </w:rPr>
        <w:t>.</w:t>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9. Fideicomisos, Mandatos y Análogos: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Default="0051592E" w:rsidP="00194A72">
      <w:pPr>
        <w:spacing w:after="0"/>
        <w:jc w:val="both"/>
        <w:rPr>
          <w:rFonts w:ascii="Arial" w:hAnsi="Arial" w:cs="Arial"/>
          <w:sz w:val="18"/>
          <w:szCs w:val="18"/>
        </w:rPr>
      </w:pPr>
      <w:r w:rsidRPr="00194A72">
        <w:rPr>
          <w:rFonts w:ascii="Arial" w:hAnsi="Arial" w:cs="Arial"/>
          <w:sz w:val="18"/>
          <w:szCs w:val="18"/>
        </w:rPr>
        <w:lastRenderedPageBreak/>
        <w:t>a) Por ramo administrativo que los reporta:</w:t>
      </w:r>
    </w:p>
    <w:p w:rsidR="00194A72" w:rsidRDefault="00194A72" w:rsidP="00194A72">
      <w:pPr>
        <w:spacing w:after="0"/>
        <w:jc w:val="both"/>
        <w:rPr>
          <w:rFonts w:ascii="Arial" w:hAnsi="Arial" w:cs="Arial"/>
          <w:b/>
          <w:sz w:val="18"/>
          <w:szCs w:val="18"/>
        </w:rPr>
      </w:pPr>
      <w:r>
        <w:rPr>
          <w:rFonts w:ascii="Arial" w:hAnsi="Arial" w:cs="Arial"/>
          <w:sz w:val="18"/>
          <w:szCs w:val="18"/>
        </w:rPr>
        <w:tab/>
      </w:r>
      <w:r>
        <w:rPr>
          <w:rFonts w:ascii="Arial" w:hAnsi="Arial" w:cs="Arial"/>
          <w:b/>
          <w:sz w:val="18"/>
          <w:szCs w:val="18"/>
        </w:rPr>
        <w:t>No aplica</w:t>
      </w:r>
    </w:p>
    <w:p w:rsidR="00194A72" w:rsidRPr="00194A72" w:rsidRDefault="00194A72" w:rsidP="00194A72">
      <w:pPr>
        <w:spacing w:after="0"/>
        <w:jc w:val="both"/>
        <w:rPr>
          <w:rFonts w:ascii="Arial" w:hAnsi="Arial" w:cs="Arial"/>
          <w:b/>
          <w:sz w:val="18"/>
          <w:szCs w:val="18"/>
        </w:rPr>
      </w:pPr>
    </w:p>
    <w:p w:rsidR="0051592E" w:rsidRPr="005C7E77" w:rsidRDefault="0051592E" w:rsidP="0051592E">
      <w:pPr>
        <w:jc w:val="both"/>
        <w:rPr>
          <w:rFonts w:ascii="Arial" w:hAnsi="Arial" w:cs="Arial"/>
          <w:b/>
          <w:sz w:val="18"/>
          <w:szCs w:val="18"/>
        </w:rPr>
      </w:pPr>
      <w:r w:rsidRPr="005C7E77">
        <w:rPr>
          <w:rFonts w:ascii="Arial" w:hAnsi="Arial" w:cs="Arial"/>
          <w:b/>
          <w:sz w:val="18"/>
          <w:szCs w:val="18"/>
        </w:rPr>
        <w:t>10. Reporte de la Recaudación:</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a) Análisis del comportamiento de la recaudación correspondiente al ente público o cualquier tipo de ingreso, de forma separada los ingresos locales de los federales:</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tiene tres fuentes de ingreso: los cuales son Subsidio Federal, Subsidio Estatal e Ingresos propios, los cuales al 31 de</w:t>
      </w:r>
      <w:r w:rsidR="00E23CAD">
        <w:rPr>
          <w:rFonts w:ascii="Arial" w:hAnsi="Arial" w:cs="Arial"/>
          <w:sz w:val="18"/>
          <w:szCs w:val="18"/>
        </w:rPr>
        <w:t xml:space="preserve"> Marzo</w:t>
      </w:r>
      <w:r w:rsidRPr="005C7E77">
        <w:rPr>
          <w:rFonts w:ascii="Arial" w:hAnsi="Arial" w:cs="Arial"/>
          <w:sz w:val="18"/>
          <w:szCs w:val="18"/>
        </w:rPr>
        <w:t xml:space="preserve"> ascienden a un importe de:</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Federal                  </w:t>
      </w:r>
      <w:r w:rsidR="001F103D">
        <w:rPr>
          <w:rFonts w:ascii="Arial" w:hAnsi="Arial" w:cs="Arial"/>
          <w:sz w:val="18"/>
          <w:szCs w:val="18"/>
        </w:rPr>
        <w:t xml:space="preserve">  9</w:t>
      </w:r>
      <w:r w:rsidRPr="005C7E77">
        <w:rPr>
          <w:rFonts w:ascii="Arial" w:hAnsi="Arial" w:cs="Arial"/>
          <w:sz w:val="18"/>
          <w:szCs w:val="18"/>
        </w:rPr>
        <w:t>’</w:t>
      </w:r>
      <w:r w:rsidR="001F103D">
        <w:rPr>
          <w:rFonts w:ascii="Arial" w:hAnsi="Arial" w:cs="Arial"/>
          <w:sz w:val="18"/>
          <w:szCs w:val="18"/>
        </w:rPr>
        <w:t>288</w:t>
      </w:r>
      <w:r w:rsidRPr="005C7E77">
        <w:rPr>
          <w:rFonts w:ascii="Arial" w:hAnsi="Arial" w:cs="Arial"/>
          <w:sz w:val="18"/>
          <w:szCs w:val="18"/>
        </w:rPr>
        <w:t>,</w:t>
      </w:r>
      <w:r w:rsidR="001F103D">
        <w:rPr>
          <w:rFonts w:ascii="Arial" w:hAnsi="Arial" w:cs="Arial"/>
          <w:sz w:val="18"/>
          <w:szCs w:val="18"/>
        </w:rPr>
        <w:t>408</w:t>
      </w:r>
      <w:r w:rsidRPr="005C7E77">
        <w:rPr>
          <w:rFonts w:ascii="Arial" w:hAnsi="Arial" w:cs="Arial"/>
          <w:sz w:val="18"/>
          <w:szCs w:val="18"/>
        </w:rPr>
        <w:t>.</w:t>
      </w:r>
      <w:r w:rsidR="001F103D">
        <w:rPr>
          <w:rFonts w:ascii="Arial" w:hAnsi="Arial" w:cs="Arial"/>
          <w:sz w:val="18"/>
          <w:szCs w:val="18"/>
        </w:rPr>
        <w:t>00</w:t>
      </w:r>
      <w:r w:rsidR="001F103D">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Estatal                   </w:t>
      </w:r>
      <w:r w:rsidR="001F103D">
        <w:rPr>
          <w:rFonts w:ascii="Arial" w:hAnsi="Arial" w:cs="Arial"/>
          <w:sz w:val="18"/>
          <w:szCs w:val="18"/>
        </w:rPr>
        <w:t>10</w:t>
      </w:r>
      <w:r w:rsidRPr="005C7E77">
        <w:rPr>
          <w:rFonts w:ascii="Arial" w:hAnsi="Arial" w:cs="Arial"/>
          <w:sz w:val="18"/>
          <w:szCs w:val="18"/>
        </w:rPr>
        <w:t>’</w:t>
      </w:r>
      <w:r w:rsidR="001F103D">
        <w:rPr>
          <w:rFonts w:ascii="Arial" w:hAnsi="Arial" w:cs="Arial"/>
          <w:sz w:val="18"/>
          <w:szCs w:val="18"/>
        </w:rPr>
        <w:t>1</w:t>
      </w:r>
      <w:r w:rsidRPr="005C7E77">
        <w:rPr>
          <w:rFonts w:ascii="Arial" w:hAnsi="Arial" w:cs="Arial"/>
          <w:sz w:val="18"/>
          <w:szCs w:val="18"/>
        </w:rPr>
        <w:t>0</w:t>
      </w:r>
      <w:r w:rsidR="001F103D">
        <w:rPr>
          <w:rFonts w:ascii="Arial" w:hAnsi="Arial" w:cs="Arial"/>
          <w:sz w:val="18"/>
          <w:szCs w:val="18"/>
        </w:rPr>
        <w:t>1</w:t>
      </w:r>
      <w:r w:rsidRPr="005C7E77">
        <w:rPr>
          <w:rFonts w:ascii="Arial" w:hAnsi="Arial" w:cs="Arial"/>
          <w:sz w:val="18"/>
          <w:szCs w:val="18"/>
        </w:rPr>
        <w:t>,</w:t>
      </w:r>
      <w:r w:rsidR="001F103D">
        <w:rPr>
          <w:rFonts w:ascii="Arial" w:hAnsi="Arial" w:cs="Arial"/>
          <w:sz w:val="18"/>
          <w:szCs w:val="18"/>
        </w:rPr>
        <w:t>616</w:t>
      </w:r>
      <w:r w:rsidRPr="005C7E77">
        <w:rPr>
          <w:rFonts w:ascii="Arial" w:hAnsi="Arial" w:cs="Arial"/>
          <w:sz w:val="18"/>
          <w:szCs w:val="18"/>
        </w:rPr>
        <w:t>.</w:t>
      </w:r>
      <w:r w:rsidR="001F103D">
        <w:rPr>
          <w:rFonts w:ascii="Arial" w:hAnsi="Arial" w:cs="Arial"/>
          <w:sz w:val="18"/>
          <w:szCs w:val="18"/>
        </w:rPr>
        <w:t>26</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Ingresos Propios      </w:t>
      </w:r>
      <w:r w:rsidR="00D807F1">
        <w:rPr>
          <w:rFonts w:ascii="Arial" w:hAnsi="Arial" w:cs="Arial"/>
          <w:sz w:val="18"/>
          <w:szCs w:val="18"/>
        </w:rPr>
        <w:t xml:space="preserve">  537</w:t>
      </w:r>
      <w:r w:rsidRPr="005C7E77">
        <w:rPr>
          <w:rFonts w:ascii="Arial" w:hAnsi="Arial" w:cs="Arial"/>
          <w:sz w:val="18"/>
          <w:szCs w:val="18"/>
        </w:rPr>
        <w:t>,</w:t>
      </w:r>
      <w:r w:rsidR="00D807F1">
        <w:rPr>
          <w:rFonts w:ascii="Arial" w:hAnsi="Arial" w:cs="Arial"/>
          <w:sz w:val="18"/>
          <w:szCs w:val="18"/>
        </w:rPr>
        <w:tab/>
        <w:t>723</w:t>
      </w:r>
      <w:r w:rsidRPr="005C7E77">
        <w:rPr>
          <w:rFonts w:ascii="Arial" w:hAnsi="Arial" w:cs="Arial"/>
          <w:sz w:val="18"/>
          <w:szCs w:val="18"/>
        </w:rPr>
        <w:t>.</w:t>
      </w:r>
      <w:r w:rsidR="00D807F1">
        <w:rPr>
          <w:rFonts w:ascii="Arial" w:hAnsi="Arial" w:cs="Arial"/>
          <w:sz w:val="18"/>
          <w:szCs w:val="18"/>
        </w:rPr>
        <w:t>32</w:t>
      </w:r>
    </w:p>
    <w:p w:rsidR="0051592E" w:rsidRPr="005C7E77" w:rsidRDefault="0051592E" w:rsidP="0051592E">
      <w:pPr>
        <w:jc w:val="both"/>
        <w:rPr>
          <w:rFonts w:ascii="Arial" w:hAnsi="Arial" w:cs="Arial"/>
          <w:sz w:val="18"/>
          <w:szCs w:val="18"/>
        </w:rPr>
      </w:pPr>
      <w:r w:rsidRPr="005C7E77">
        <w:rPr>
          <w:rFonts w:ascii="Arial" w:hAnsi="Arial" w:cs="Arial"/>
          <w:sz w:val="18"/>
          <w:szCs w:val="18"/>
        </w:rPr>
        <w:t>Importes que están acordes con el pronóstico de ingresos de la Institución.</w:t>
      </w:r>
    </w:p>
    <w:p w:rsidR="0051592E" w:rsidRPr="005C7E77" w:rsidRDefault="0051592E" w:rsidP="0051592E">
      <w:pPr>
        <w:jc w:val="both"/>
        <w:rPr>
          <w:rFonts w:ascii="Arial" w:hAnsi="Arial" w:cs="Arial"/>
          <w:sz w:val="18"/>
          <w:szCs w:val="18"/>
        </w:rPr>
      </w:pPr>
      <w:r w:rsidRPr="005C7E77">
        <w:rPr>
          <w:rFonts w:ascii="Arial" w:hAnsi="Arial" w:cs="Arial"/>
          <w:sz w:val="18"/>
          <w:szCs w:val="18"/>
        </w:rPr>
        <w:t>b) Proyección de la recaudación e ingresos en el mediano plazo:</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Recaudado        </w:t>
      </w:r>
      <w:r w:rsidR="005D662E">
        <w:rPr>
          <w:rFonts w:ascii="Arial" w:hAnsi="Arial" w:cs="Arial"/>
          <w:sz w:val="18"/>
          <w:szCs w:val="18"/>
        </w:rPr>
        <w:t xml:space="preserve">     </w:t>
      </w:r>
      <w:r w:rsidRPr="005C7E77">
        <w:rPr>
          <w:rFonts w:ascii="Arial" w:hAnsi="Arial" w:cs="Arial"/>
          <w:sz w:val="18"/>
          <w:szCs w:val="18"/>
        </w:rPr>
        <w:t xml:space="preserve">  </w:t>
      </w:r>
      <w:r w:rsidR="000512B4">
        <w:rPr>
          <w:rFonts w:ascii="Arial" w:hAnsi="Arial" w:cs="Arial"/>
          <w:sz w:val="18"/>
          <w:szCs w:val="18"/>
        </w:rPr>
        <w:t xml:space="preserve">  537</w:t>
      </w:r>
      <w:r w:rsidRPr="005C7E77">
        <w:rPr>
          <w:rFonts w:ascii="Arial" w:hAnsi="Arial" w:cs="Arial"/>
          <w:sz w:val="18"/>
          <w:szCs w:val="18"/>
        </w:rPr>
        <w:t>,</w:t>
      </w:r>
      <w:r w:rsidR="005D662E">
        <w:rPr>
          <w:rFonts w:ascii="Arial" w:hAnsi="Arial" w:cs="Arial"/>
          <w:sz w:val="18"/>
          <w:szCs w:val="18"/>
        </w:rPr>
        <w:t>723.32</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Por recaudar            </w:t>
      </w:r>
      <w:r w:rsidR="005D662E">
        <w:rPr>
          <w:rFonts w:ascii="Arial" w:hAnsi="Arial" w:cs="Arial"/>
          <w:sz w:val="18"/>
          <w:szCs w:val="18"/>
        </w:rPr>
        <w:t>4’862,566.68</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Total                    </w:t>
      </w:r>
      <w:r w:rsidR="005D662E">
        <w:rPr>
          <w:rFonts w:ascii="Arial" w:hAnsi="Arial" w:cs="Arial"/>
          <w:sz w:val="18"/>
          <w:szCs w:val="18"/>
        </w:rPr>
        <w:t xml:space="preserve">    5</w:t>
      </w:r>
      <w:r w:rsidRPr="005C7E77">
        <w:rPr>
          <w:rFonts w:ascii="Arial" w:hAnsi="Arial" w:cs="Arial"/>
          <w:sz w:val="18"/>
          <w:szCs w:val="18"/>
        </w:rPr>
        <w:t>’</w:t>
      </w:r>
      <w:r w:rsidR="005D662E">
        <w:rPr>
          <w:rFonts w:ascii="Arial" w:hAnsi="Arial" w:cs="Arial"/>
          <w:sz w:val="18"/>
          <w:szCs w:val="18"/>
        </w:rPr>
        <w:t>400</w:t>
      </w:r>
      <w:r w:rsidRPr="005C7E77">
        <w:rPr>
          <w:rFonts w:ascii="Arial" w:hAnsi="Arial" w:cs="Arial"/>
          <w:sz w:val="18"/>
          <w:szCs w:val="18"/>
        </w:rPr>
        <w:t>,2</w:t>
      </w:r>
      <w:r w:rsidR="005D662E">
        <w:rPr>
          <w:rFonts w:ascii="Arial" w:hAnsi="Arial" w:cs="Arial"/>
          <w:sz w:val="18"/>
          <w:szCs w:val="18"/>
        </w:rPr>
        <w:t>90</w:t>
      </w:r>
      <w:r w:rsidRPr="005C7E77">
        <w:rPr>
          <w:rFonts w:ascii="Arial" w:hAnsi="Arial" w:cs="Arial"/>
          <w:sz w:val="18"/>
          <w:szCs w:val="18"/>
        </w:rPr>
        <w:t>.</w:t>
      </w:r>
      <w:r w:rsidR="005D662E">
        <w:rPr>
          <w:rFonts w:ascii="Arial" w:hAnsi="Arial" w:cs="Arial"/>
          <w:sz w:val="18"/>
          <w:szCs w:val="18"/>
        </w:rPr>
        <w:t>00</w:t>
      </w:r>
    </w:p>
    <w:p w:rsidR="0051592E" w:rsidRPr="005C7E77" w:rsidRDefault="0051592E" w:rsidP="0051592E">
      <w:pPr>
        <w:jc w:val="both"/>
        <w:rPr>
          <w:rFonts w:ascii="Arial" w:hAnsi="Arial" w:cs="Arial"/>
          <w:b/>
          <w:sz w:val="18"/>
          <w:szCs w:val="18"/>
        </w:rPr>
      </w:pPr>
    </w:p>
    <w:p w:rsidR="0051592E" w:rsidRPr="005C7E77" w:rsidRDefault="0051592E" w:rsidP="0051592E">
      <w:pPr>
        <w:jc w:val="both"/>
        <w:rPr>
          <w:rFonts w:ascii="Arial" w:hAnsi="Arial" w:cs="Arial"/>
          <w:b/>
          <w:sz w:val="18"/>
          <w:szCs w:val="18"/>
        </w:rPr>
      </w:pPr>
      <w:r w:rsidRPr="005C7E77">
        <w:rPr>
          <w:rFonts w:ascii="Arial" w:hAnsi="Arial" w:cs="Arial"/>
          <w:b/>
          <w:sz w:val="18"/>
          <w:szCs w:val="18"/>
        </w:rPr>
        <w:t>11. Información sobre la Deuda y el Reporte Analítico de la Deuda:</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Se informará lo siguiente:</w:t>
      </w:r>
    </w:p>
    <w:p w:rsidR="0051592E" w:rsidRPr="005C7E77" w:rsidRDefault="0051592E" w:rsidP="0051592E">
      <w:pPr>
        <w:jc w:val="both"/>
        <w:rPr>
          <w:rFonts w:ascii="Arial" w:hAnsi="Arial" w:cs="Arial"/>
          <w:sz w:val="18"/>
          <w:szCs w:val="18"/>
        </w:rPr>
      </w:pPr>
      <w:r w:rsidRPr="005C7E77">
        <w:rPr>
          <w:rFonts w:ascii="Arial" w:hAnsi="Arial" w:cs="Arial"/>
          <w:sz w:val="18"/>
          <w:szCs w:val="18"/>
        </w:rPr>
        <w:t>a) Utilizar al menos los siguientes indicadores: deuda respecto al PIB y deuda respecto a la recaudación tomando, como mínimo, un período igual o menor a 5 años.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b) Información de manera agrupada por tipo de valor gubernamental o instrumento financiero en la que se considere intereses, comisiones, tasa, perfil de vencimiento y otros gastos de la deuda.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12. Calificaciones otorgadas: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Informar, tanto del ente público como cualquier transacción realizada, que haya sido sujeta a una calificación crediticia:</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No aplica. La Dirección General de Contabilidad Gubernamental, dará la debida contestación en el tomo de cuenta pública, a esta pregunta en concreto</w:t>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13. Proceso de Mejora:</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Se informará de:</w:t>
      </w:r>
    </w:p>
    <w:p w:rsidR="0051592E" w:rsidRPr="005C7E77" w:rsidRDefault="0051592E" w:rsidP="0051592E">
      <w:pPr>
        <w:jc w:val="both"/>
        <w:rPr>
          <w:rFonts w:ascii="Arial" w:hAnsi="Arial" w:cs="Arial"/>
          <w:sz w:val="18"/>
          <w:szCs w:val="18"/>
        </w:rPr>
      </w:pPr>
      <w:r w:rsidRPr="005C7E77">
        <w:rPr>
          <w:rFonts w:ascii="Arial" w:hAnsi="Arial" w:cs="Arial"/>
          <w:sz w:val="18"/>
          <w:szCs w:val="18"/>
        </w:rPr>
        <w:t>a) Principales Políticas de control interno:</w:t>
      </w:r>
    </w:p>
    <w:p w:rsidR="0051592E" w:rsidRPr="005C7E77" w:rsidRDefault="0051592E" w:rsidP="0051592E">
      <w:pPr>
        <w:jc w:val="both"/>
        <w:rPr>
          <w:rFonts w:ascii="Arial" w:hAnsi="Arial" w:cs="Arial"/>
          <w:sz w:val="18"/>
          <w:szCs w:val="18"/>
        </w:rPr>
      </w:pPr>
      <w:r w:rsidRPr="005C7E77">
        <w:rPr>
          <w:rFonts w:ascii="Arial" w:hAnsi="Arial" w:cs="Arial"/>
          <w:sz w:val="18"/>
          <w:szCs w:val="18"/>
        </w:rPr>
        <w:t>Se da cumplimientos a las leyes y disposiciones administrativas de Gobierno del Estado.</w:t>
      </w:r>
    </w:p>
    <w:p w:rsidR="0051592E" w:rsidRPr="005C7E77" w:rsidRDefault="0051592E" w:rsidP="0051592E">
      <w:pPr>
        <w:jc w:val="both"/>
        <w:rPr>
          <w:rFonts w:ascii="Arial" w:hAnsi="Arial" w:cs="Arial"/>
          <w:sz w:val="18"/>
          <w:szCs w:val="18"/>
        </w:rPr>
      </w:pPr>
      <w:r w:rsidRPr="005C7E77">
        <w:rPr>
          <w:rFonts w:ascii="Arial" w:hAnsi="Arial" w:cs="Arial"/>
          <w:sz w:val="18"/>
          <w:szCs w:val="18"/>
        </w:rPr>
        <w:t>Se sigue el procedimiento de calidad en todo el proceso de contratación y compras desde su solicitud hasta el pago y resguardo de la documentación comprobatoria.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se paga cualquier gasto si no reúne los requisitos de comprobación y fiscal. Salvo los que por su importe y justificación lo ameritan.</w:t>
      </w:r>
    </w:p>
    <w:p w:rsidR="0051592E" w:rsidRPr="005C7E77" w:rsidRDefault="0051592E" w:rsidP="0051592E">
      <w:pPr>
        <w:jc w:val="both"/>
        <w:rPr>
          <w:rFonts w:ascii="Arial" w:hAnsi="Arial" w:cs="Arial"/>
          <w:sz w:val="18"/>
          <w:szCs w:val="18"/>
        </w:rPr>
      </w:pPr>
      <w:r w:rsidRPr="005C7E77">
        <w:rPr>
          <w:rFonts w:ascii="Arial" w:hAnsi="Arial" w:cs="Arial"/>
          <w:sz w:val="18"/>
          <w:szCs w:val="18"/>
        </w:rPr>
        <w:t>b) Medidas de desempeño financiero, metas y alcance:</w:t>
      </w:r>
    </w:p>
    <w:p w:rsidR="0051592E" w:rsidRPr="005C7E77" w:rsidRDefault="0051592E" w:rsidP="0051592E">
      <w:pPr>
        <w:jc w:val="both"/>
        <w:rPr>
          <w:rFonts w:ascii="Arial" w:hAnsi="Arial" w:cs="Arial"/>
          <w:sz w:val="18"/>
          <w:szCs w:val="18"/>
        </w:rPr>
      </w:pPr>
      <w:r w:rsidRPr="005C7E77">
        <w:rPr>
          <w:rFonts w:ascii="Arial" w:hAnsi="Arial" w:cs="Arial"/>
          <w:sz w:val="18"/>
          <w:szCs w:val="18"/>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14. Información por Segmentos: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1592E" w:rsidRPr="005C7E77" w:rsidRDefault="0051592E" w:rsidP="0051592E">
      <w:pPr>
        <w:jc w:val="both"/>
        <w:rPr>
          <w:rFonts w:ascii="Arial" w:hAnsi="Arial" w:cs="Arial"/>
          <w:sz w:val="18"/>
          <w:szCs w:val="18"/>
        </w:rPr>
      </w:pPr>
      <w:r w:rsidRPr="005C7E77">
        <w:rPr>
          <w:rFonts w:ascii="Arial" w:hAnsi="Arial" w:cs="Arial"/>
          <w:sz w:val="18"/>
          <w:szCs w:val="18"/>
        </w:rPr>
        <w:t>Consecuentemente, esta información contribuye al análisis más preciso de la situación financiera, grados y fuentes de riesgo y c</w:t>
      </w:r>
      <w:r w:rsidR="00DF41A4">
        <w:rPr>
          <w:rFonts w:ascii="Arial" w:hAnsi="Arial" w:cs="Arial"/>
          <w:sz w:val="18"/>
          <w:szCs w:val="18"/>
        </w:rPr>
        <w:t>recimiento potencial de negocio</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15. Eventos Posteriores al Cierre:</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 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5C7E77">
        <w:rPr>
          <w:rFonts w:ascii="Arial" w:hAnsi="Arial" w:cs="Arial"/>
          <w:sz w:val="18"/>
          <w:szCs w:val="18"/>
        </w:rPr>
        <w:cr/>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16. Partes Relacionadas: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Se debe establecer por escrito que no existen partes relacionadas que pudieran ejercer influencia significativa sobre la toma de decisiones financieras y operativas: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 La Dirección General de Contabilidad Gubernamental, dará la debida contestación en el tomo de cuenta pública, a esta pregunta en concreto</w:t>
      </w:r>
    </w:p>
    <w:p w:rsidR="0051592E" w:rsidRPr="005C7E77" w:rsidRDefault="0051592E" w:rsidP="0051592E">
      <w:pPr>
        <w:jc w:val="both"/>
        <w:rPr>
          <w:rFonts w:ascii="Arial" w:hAnsi="Arial" w:cs="Arial"/>
          <w:sz w:val="18"/>
          <w:szCs w:val="18"/>
        </w:rPr>
      </w:pPr>
      <w:r w:rsidRPr="005C7E77">
        <w:rPr>
          <w:rFonts w:ascii="Arial" w:hAnsi="Arial" w:cs="Arial"/>
          <w:b/>
          <w:sz w:val="18"/>
          <w:szCs w:val="18"/>
        </w:rPr>
        <w:lastRenderedPageBreak/>
        <w:t>17. Responsabilidad sobre la presentación razonable de los Estados Financieros:</w:t>
      </w:r>
      <w:r w:rsidRPr="005C7E77">
        <w:rPr>
          <w:rFonts w:ascii="Arial" w:hAnsi="Arial" w:cs="Arial"/>
          <w:b/>
          <w:sz w:val="18"/>
          <w:szCs w:val="18"/>
        </w:rPr>
        <w:tab/>
      </w:r>
      <w:r w:rsidRPr="005C7E77">
        <w:rPr>
          <w:rFonts w:ascii="Arial" w:hAnsi="Arial" w:cs="Arial"/>
          <w:b/>
          <w:sz w:val="18"/>
          <w:szCs w:val="18"/>
        </w:rPr>
        <w:tab/>
      </w:r>
    </w:p>
    <w:p w:rsidR="00A05C4D" w:rsidRPr="005C7E77" w:rsidRDefault="0051592E" w:rsidP="0051592E">
      <w:pPr>
        <w:jc w:val="both"/>
        <w:rPr>
          <w:rFonts w:ascii="Arial" w:hAnsi="Arial" w:cs="Arial"/>
          <w:sz w:val="18"/>
          <w:szCs w:val="18"/>
        </w:rPr>
      </w:pPr>
      <w:r w:rsidRPr="005C7E77">
        <w:rPr>
          <w:rFonts w:ascii="Arial"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w:t>
      </w:r>
      <w:r w:rsidR="00B04098" w:rsidRPr="005C7E77">
        <w:rPr>
          <w:rFonts w:ascii="Arial" w:hAnsi="Arial" w:cs="Arial"/>
          <w:sz w:val="18"/>
          <w:szCs w:val="18"/>
        </w:rPr>
        <w:t>n responsabilidad del emisor”.</w:t>
      </w:r>
    </w:p>
    <w:p w:rsidR="00B04098" w:rsidRPr="005C7E77" w:rsidRDefault="00B04098" w:rsidP="0051592E">
      <w:pPr>
        <w:jc w:val="both"/>
        <w:rPr>
          <w:rFonts w:ascii="Arial" w:hAnsi="Arial" w:cs="Arial"/>
          <w:b/>
          <w:sz w:val="18"/>
          <w:szCs w:val="18"/>
        </w:rPr>
      </w:pPr>
    </w:p>
    <w:p w:rsidR="00A05C4D" w:rsidRDefault="00A05C4D"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3869C4">
      <w:pPr>
        <w:rPr>
          <w:sz w:val="18"/>
          <w:szCs w:val="18"/>
        </w:rPr>
      </w:pPr>
      <w:r>
        <w:rPr>
          <w:rFonts w:ascii="Arial" w:hAnsi="Arial" w:cs="Arial"/>
          <w:b/>
          <w:sz w:val="18"/>
          <w:szCs w:val="18"/>
        </w:rPr>
        <w:lastRenderedPageBreak/>
        <w:t>Anexo I.</w:t>
      </w:r>
      <w:r w:rsidRPr="003869C4">
        <w:rPr>
          <w:sz w:val="18"/>
          <w:szCs w:val="18"/>
        </w:rPr>
        <w:t xml:space="preserve"> </w:t>
      </w:r>
      <w:r w:rsidR="007C7699">
        <w:rPr>
          <w:noProof/>
          <w:sz w:val="18"/>
          <w:szCs w:val="18"/>
          <w:lang w:eastAsia="es-MX"/>
        </w:rPr>
        <w:drawing>
          <wp:inline distT="0" distB="0" distL="0" distR="0">
            <wp:extent cx="8181975" cy="4162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1975" cy="4162425"/>
                    </a:xfrm>
                    <a:prstGeom prst="rect">
                      <a:avLst/>
                    </a:prstGeom>
                    <a:noFill/>
                    <a:ln>
                      <a:noFill/>
                    </a:ln>
                  </pic:spPr>
                </pic:pic>
              </a:graphicData>
            </a:graphic>
          </wp:inline>
        </w:drawing>
      </w:r>
    </w:p>
    <w:p w:rsidR="003869C4" w:rsidRDefault="003869C4" w:rsidP="003869C4">
      <w:pPr>
        <w:rPr>
          <w:sz w:val="18"/>
          <w:szCs w:val="18"/>
        </w:rPr>
      </w:pPr>
    </w:p>
    <w:p w:rsidR="003869C4" w:rsidRDefault="003869C4" w:rsidP="003869C4">
      <w:pPr>
        <w:rPr>
          <w:sz w:val="18"/>
          <w:szCs w:val="18"/>
        </w:rPr>
      </w:pPr>
    </w:p>
    <w:p w:rsidR="003869C4" w:rsidRDefault="003869C4" w:rsidP="003869C4">
      <w:pPr>
        <w:rPr>
          <w:sz w:val="18"/>
          <w:szCs w:val="18"/>
        </w:rPr>
      </w:pPr>
    </w:p>
    <w:p w:rsidR="003869C4" w:rsidRDefault="003869C4" w:rsidP="003869C4">
      <w:pPr>
        <w:rPr>
          <w:sz w:val="18"/>
          <w:szCs w:val="18"/>
        </w:rPr>
      </w:pPr>
    </w:p>
    <w:p w:rsidR="003869C4" w:rsidRPr="003869C4" w:rsidRDefault="003869C4" w:rsidP="003869C4">
      <w:pPr>
        <w:jc w:val="right"/>
        <w:rPr>
          <w:b/>
          <w:sz w:val="18"/>
          <w:szCs w:val="18"/>
        </w:rPr>
      </w:pPr>
      <w:r w:rsidRPr="003869C4">
        <w:rPr>
          <w:b/>
          <w:sz w:val="18"/>
          <w:szCs w:val="18"/>
        </w:rPr>
        <w:t>1/11</w:t>
      </w:r>
    </w:p>
    <w:p w:rsidR="003869C4" w:rsidRDefault="003869C4" w:rsidP="003869C4">
      <w:pPr>
        <w:rPr>
          <w:sz w:val="18"/>
          <w:szCs w:val="18"/>
        </w:rPr>
      </w:pPr>
    </w:p>
    <w:p w:rsidR="003869C4" w:rsidRPr="005C7E77" w:rsidRDefault="003869C4" w:rsidP="003869C4">
      <w:pPr>
        <w:jc w:val="center"/>
        <w:rPr>
          <w:rFonts w:ascii="Arial" w:hAnsi="Arial" w:cs="Arial"/>
          <w:b/>
          <w:sz w:val="18"/>
          <w:szCs w:val="18"/>
        </w:rPr>
        <w:sectPr w:rsidR="003869C4" w:rsidRPr="005C7E77" w:rsidSect="00DF41A4">
          <w:pgSz w:w="15840" w:h="12240" w:orient="landscape" w:code="1"/>
          <w:pgMar w:top="1134" w:right="1418" w:bottom="851" w:left="1418" w:header="397" w:footer="283" w:gutter="0"/>
          <w:cols w:space="708"/>
          <w:docGrid w:linePitch="360"/>
        </w:sectPr>
      </w:pPr>
    </w:p>
    <w:p w:rsidR="00F1335D" w:rsidRDefault="007C7699" w:rsidP="00A05C4D">
      <w:pPr>
        <w:rPr>
          <w:sz w:val="18"/>
          <w:szCs w:val="18"/>
        </w:rPr>
      </w:pPr>
      <w:r w:rsidRPr="005C7E77">
        <w:rPr>
          <w:noProof/>
          <w:sz w:val="18"/>
          <w:szCs w:val="18"/>
          <w:lang w:eastAsia="es-MX"/>
        </w:rPr>
        <w:lastRenderedPageBreak/>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-457200</wp:posOffset>
                </wp:positionV>
                <wp:extent cx="1028700" cy="342900"/>
                <wp:effectExtent l="0" t="0" r="0" b="0"/>
                <wp:wrapNone/>
                <wp:docPr id="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4D" w:rsidRDefault="00A05C4D" w:rsidP="00A05C4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95pt;margin-top:-36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NsuAIAAME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jfDSNIOerTcUqYVYhxZvrcKxa5KQ28ycL7vwd3ub9UeXnjGpr9T1TeDpFo2VG74jdZqaDhlkKV/&#10;GZ49HXGMA1kPHxSDaHRrlQfa17pzJYSiIECHbj2cOgR5oMqFjJL5LAJTBbZLkqSwh+RCmh1f99rY&#10;d1x1yG1yrEEBHp3u7owdXY8uLphUpWhbr4JWPrsAzPEGYsNTZ3NZ+KY+plG6mq/mJCDJdBWQqCiC&#10;m3JJgmkZzybFZbFcFvFPFzcmWSMY49KFOQosJn/WwIPUR2mcJGZUK5iDcykZvVkvW412FARe+u9Q&#10;kDO38Hkavl7A5QWlOCHRbZIG5XQ+C0hJJkE6i+ZBFKe36TQiKSnK55TuhOT/TgkNOU4nyWQU02+5&#10;Rf57zY1mnbAwQlrR5Xh+cqKZk+BKMt9aS0U77s9K4dJ/KgW0+9hoL1in0VGtdr/eA4pT8VqxB5Cu&#10;VqAsECHMPdg0Sv/AaIAZkmPzfUs1x6h9L0H+aUyIGzr+QCazBA763LI+t1BZAVSOLUbjdmnHQbXt&#10;tdg0EGn84aS6gV+mFl7NT1kBFXeAOeFJHWaaG0TnZ+/1NHkXvwAAAP//AwBQSwMEFAAGAAgAAAAh&#10;AC6h9/beAAAADAEAAA8AAABkcnMvZG93bnJldi54bWxMj0FPwzAMhe9I/IfISNy2pBNja2k6TUNc&#10;QWyAxC1rvLaicaomW8u/xz2x27P99Py9fDO6VlywD40nDclcgUAqvW2o0vBxeJmtQYRoyJrWE2r4&#10;xQCb4vYmN5n1A73jZR8rwSEUMqOhjrHLpAxljc6Eue+Q+HbyvTORx76StjcDh7tWLpR6lM40xB9q&#10;0+GuxvJnf3YaPl9P318P6q16dstu8KOS5FKp9f3duH0CEXGM/2aY8BkdCmY6+jPZIFoNaaq4S9Qw&#10;Wy1YTI5kOakjr5K1Alnk8rpE8QcAAP//AwBQSwECLQAUAAYACAAAACEAtoM4kv4AAADhAQAAEwAA&#10;AAAAAAAAAAAAAAAAAAAAW0NvbnRlbnRfVHlwZXNdLnhtbFBLAQItABQABgAIAAAAIQA4/SH/1gAA&#10;AJQBAAALAAAAAAAAAAAAAAAAAC8BAABfcmVscy8ucmVsc1BLAQItABQABgAIAAAAIQD7bcNsuAIA&#10;AMEFAAAOAAAAAAAAAAAAAAAAAC4CAABkcnMvZTJvRG9jLnhtbFBLAQItABQABgAIAAAAIQAuoff2&#10;3gAAAAwBAAAPAAAAAAAAAAAAAAAAABIFAABkcnMvZG93bnJldi54bWxQSwUGAAAAAAQABADzAAAA&#10;HQYAAAAA&#10;" filled="f" stroked="f">
                <v:textbox>
                  <w:txbxContent>
                    <w:p w:rsidR="00A05C4D" w:rsidRDefault="00A05C4D" w:rsidP="00A05C4D">
                      <w:pPr>
                        <w:rPr>
                          <w:rFonts w:ascii="Arial" w:hAnsi="Arial" w:cs="Arial"/>
                          <w:sz w:val="18"/>
                        </w:rPr>
                      </w:pPr>
                    </w:p>
                  </w:txbxContent>
                </v:textbox>
              </v:shape>
            </w:pict>
          </mc:Fallback>
        </mc:AlternateContent>
      </w:r>
    </w:p>
    <w:p w:rsidR="00A05C4D" w:rsidRDefault="007C7699" w:rsidP="00A05C4D">
      <w:pPr>
        <w:rPr>
          <w:sz w:val="18"/>
          <w:szCs w:val="18"/>
        </w:rPr>
      </w:pPr>
      <w:r>
        <w:rPr>
          <w:noProof/>
          <w:sz w:val="18"/>
          <w:szCs w:val="18"/>
          <w:lang w:eastAsia="es-MX"/>
        </w:rPr>
        <w:drawing>
          <wp:inline distT="0" distB="0" distL="0" distR="0">
            <wp:extent cx="8553450" cy="480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3450" cy="4800600"/>
                    </a:xfrm>
                    <a:prstGeom prst="rect">
                      <a:avLst/>
                    </a:prstGeom>
                    <a:noFill/>
                    <a:ln>
                      <a:noFill/>
                    </a:ln>
                  </pic:spPr>
                </pic:pic>
              </a:graphicData>
            </a:graphic>
          </wp:inline>
        </w:drawing>
      </w:r>
    </w:p>
    <w:p w:rsidR="00F1335D" w:rsidRDefault="00F1335D" w:rsidP="003869C4">
      <w:pPr>
        <w:jc w:val="right"/>
        <w:rPr>
          <w:sz w:val="18"/>
          <w:szCs w:val="18"/>
        </w:rPr>
      </w:pPr>
    </w:p>
    <w:p w:rsidR="003869C4" w:rsidRPr="003869C4" w:rsidRDefault="003869C4" w:rsidP="003869C4">
      <w:pPr>
        <w:jc w:val="right"/>
        <w:rPr>
          <w:b/>
          <w:sz w:val="18"/>
          <w:szCs w:val="18"/>
        </w:rPr>
      </w:pPr>
      <w:r w:rsidRPr="003869C4">
        <w:rPr>
          <w:b/>
          <w:sz w:val="18"/>
          <w:szCs w:val="18"/>
        </w:rPr>
        <w:t>2/11</w:t>
      </w:r>
    </w:p>
    <w:p w:rsidR="00F1335D" w:rsidRDefault="007C7699" w:rsidP="00A05C4D">
      <w:pPr>
        <w:rPr>
          <w:noProof/>
          <w:sz w:val="18"/>
          <w:szCs w:val="18"/>
          <w:lang w:eastAsia="es-MX"/>
        </w:rPr>
      </w:pPr>
      <w:r>
        <w:rPr>
          <w:noProof/>
          <w:sz w:val="18"/>
          <w:szCs w:val="18"/>
          <w:lang w:eastAsia="es-MX"/>
        </w:rPr>
        <w:lastRenderedPageBreak/>
        <w:drawing>
          <wp:inline distT="0" distB="0" distL="0" distR="0">
            <wp:extent cx="7800975" cy="4800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0975" cy="4800600"/>
                    </a:xfrm>
                    <a:prstGeom prst="rect">
                      <a:avLst/>
                    </a:prstGeom>
                    <a:noFill/>
                    <a:ln>
                      <a:noFill/>
                    </a:ln>
                  </pic:spPr>
                </pic:pic>
              </a:graphicData>
            </a:graphic>
          </wp:inline>
        </w:drawing>
      </w:r>
    </w:p>
    <w:p w:rsidR="003869C4" w:rsidRDefault="003869C4" w:rsidP="00A05C4D">
      <w:pPr>
        <w:rPr>
          <w:noProof/>
          <w:sz w:val="18"/>
          <w:szCs w:val="18"/>
          <w:lang w:eastAsia="es-MX"/>
        </w:rPr>
      </w:pPr>
    </w:p>
    <w:p w:rsidR="003869C4" w:rsidRPr="003869C4" w:rsidRDefault="003869C4" w:rsidP="003869C4">
      <w:pPr>
        <w:jc w:val="right"/>
        <w:rPr>
          <w:b/>
          <w:noProof/>
          <w:sz w:val="18"/>
          <w:szCs w:val="18"/>
          <w:lang w:eastAsia="es-MX"/>
        </w:rPr>
      </w:pPr>
      <w:r w:rsidRPr="003869C4">
        <w:rPr>
          <w:b/>
          <w:noProof/>
          <w:sz w:val="18"/>
          <w:szCs w:val="18"/>
          <w:lang w:eastAsia="es-MX"/>
        </w:rPr>
        <w:t>3/11</w:t>
      </w:r>
    </w:p>
    <w:p w:rsidR="00F1335D" w:rsidRDefault="00F1335D" w:rsidP="003869C4">
      <w:pPr>
        <w:jc w:val="center"/>
        <w:rPr>
          <w:noProof/>
          <w:sz w:val="18"/>
          <w:szCs w:val="18"/>
          <w:lang w:eastAsia="es-MX"/>
        </w:rPr>
      </w:pPr>
      <w:r>
        <w:rPr>
          <w:noProof/>
          <w:sz w:val="18"/>
          <w:szCs w:val="18"/>
          <w:lang w:eastAsia="es-MX"/>
        </w:rPr>
        <w:br w:type="page"/>
      </w:r>
      <w:r w:rsidR="007C7699">
        <w:rPr>
          <w:noProof/>
          <w:sz w:val="18"/>
          <w:szCs w:val="18"/>
          <w:lang w:eastAsia="es-MX"/>
        </w:rPr>
        <w:lastRenderedPageBreak/>
        <w:drawing>
          <wp:inline distT="0" distB="0" distL="0" distR="0">
            <wp:extent cx="8191500" cy="395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0" cy="3952875"/>
                    </a:xfrm>
                    <a:prstGeom prst="rect">
                      <a:avLst/>
                    </a:prstGeom>
                    <a:noFill/>
                    <a:ln>
                      <a:noFill/>
                    </a:ln>
                  </pic:spPr>
                </pic:pic>
              </a:graphicData>
            </a:graphic>
          </wp:inline>
        </w:drawing>
      </w: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Pr="003869C4" w:rsidRDefault="003869C4" w:rsidP="003869C4">
      <w:pPr>
        <w:jc w:val="right"/>
        <w:rPr>
          <w:b/>
          <w:noProof/>
          <w:sz w:val="18"/>
          <w:szCs w:val="18"/>
          <w:lang w:eastAsia="es-MX"/>
        </w:rPr>
      </w:pPr>
      <w:r>
        <w:rPr>
          <w:b/>
          <w:noProof/>
          <w:sz w:val="18"/>
          <w:szCs w:val="18"/>
          <w:lang w:eastAsia="es-MX"/>
        </w:rPr>
        <w:t>4/11</w:t>
      </w:r>
    </w:p>
    <w:p w:rsidR="00F1335D" w:rsidRDefault="00F1335D" w:rsidP="00A05C4D">
      <w:pPr>
        <w:rPr>
          <w:noProof/>
          <w:sz w:val="18"/>
          <w:szCs w:val="18"/>
          <w:lang w:eastAsia="es-MX"/>
        </w:rPr>
      </w:pPr>
      <w:r>
        <w:rPr>
          <w:noProof/>
          <w:sz w:val="18"/>
          <w:szCs w:val="18"/>
          <w:lang w:eastAsia="es-MX"/>
        </w:rPr>
        <w:br w:type="page"/>
      </w:r>
      <w:r w:rsidR="007C7699">
        <w:rPr>
          <w:noProof/>
          <w:sz w:val="18"/>
          <w:szCs w:val="18"/>
          <w:lang w:eastAsia="es-MX"/>
        </w:rPr>
        <w:lastRenderedPageBreak/>
        <w:drawing>
          <wp:inline distT="0" distB="0" distL="0" distR="0">
            <wp:extent cx="8201025" cy="4667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1025" cy="4667250"/>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B1395E" w:rsidRDefault="003869C4" w:rsidP="003869C4">
      <w:pPr>
        <w:jc w:val="right"/>
        <w:rPr>
          <w:noProof/>
          <w:sz w:val="18"/>
          <w:szCs w:val="18"/>
          <w:lang w:eastAsia="es-MX"/>
        </w:rPr>
      </w:pPr>
      <w:r>
        <w:rPr>
          <w:b/>
          <w:noProof/>
          <w:sz w:val="18"/>
          <w:szCs w:val="18"/>
          <w:lang w:eastAsia="es-MX"/>
        </w:rPr>
        <w:t>5/11</w:t>
      </w:r>
      <w:r w:rsidR="00F1335D">
        <w:rPr>
          <w:noProof/>
          <w:sz w:val="18"/>
          <w:szCs w:val="18"/>
          <w:lang w:eastAsia="es-MX"/>
        </w:rPr>
        <w:br w:type="page"/>
      </w:r>
      <w:r w:rsidR="007C7699">
        <w:rPr>
          <w:noProof/>
          <w:sz w:val="18"/>
          <w:szCs w:val="18"/>
          <w:lang w:eastAsia="es-MX"/>
        </w:rPr>
        <w:lastRenderedPageBreak/>
        <w:drawing>
          <wp:inline distT="0" distB="0" distL="0" distR="0">
            <wp:extent cx="4905375" cy="2867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2867025"/>
                    </a:xfrm>
                    <a:prstGeom prst="rect">
                      <a:avLst/>
                    </a:prstGeom>
                    <a:noFill/>
                    <a:ln>
                      <a:noFill/>
                    </a:ln>
                  </pic:spPr>
                </pic:pic>
              </a:graphicData>
            </a:graphic>
          </wp:inline>
        </w:drawing>
      </w:r>
    </w:p>
    <w:p w:rsidR="00F1335D" w:rsidRDefault="007C7699" w:rsidP="003869C4">
      <w:pPr>
        <w:jc w:val="right"/>
        <w:rPr>
          <w:noProof/>
          <w:sz w:val="18"/>
          <w:szCs w:val="18"/>
          <w:lang w:eastAsia="es-MX"/>
        </w:rPr>
      </w:pPr>
      <w:r>
        <w:rPr>
          <w:noProof/>
          <w:sz w:val="18"/>
          <w:szCs w:val="18"/>
          <w:lang w:eastAsia="es-MX"/>
        </w:rPr>
        <w:drawing>
          <wp:inline distT="0" distB="0" distL="0" distR="0">
            <wp:extent cx="7877175" cy="2562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77175" cy="2562225"/>
                    </a:xfrm>
                    <a:prstGeom prst="rect">
                      <a:avLst/>
                    </a:prstGeom>
                    <a:noFill/>
                    <a:ln>
                      <a:noFill/>
                    </a:ln>
                  </pic:spPr>
                </pic:pic>
              </a:graphicData>
            </a:graphic>
          </wp:inline>
        </w:drawing>
      </w:r>
      <w:r w:rsidR="003869C4">
        <w:rPr>
          <w:b/>
          <w:noProof/>
          <w:sz w:val="18"/>
          <w:szCs w:val="18"/>
          <w:lang w:eastAsia="es-MX"/>
        </w:rPr>
        <w:t>6/11</w:t>
      </w:r>
      <w:r w:rsidR="00B1395E">
        <w:rPr>
          <w:noProof/>
          <w:sz w:val="18"/>
          <w:szCs w:val="18"/>
          <w:lang w:eastAsia="es-MX"/>
        </w:rPr>
        <w:br w:type="page"/>
      </w:r>
      <w:r>
        <w:rPr>
          <w:noProof/>
          <w:sz w:val="18"/>
          <w:szCs w:val="18"/>
          <w:lang w:eastAsia="es-MX"/>
        </w:rPr>
        <w:lastRenderedPageBreak/>
        <w:drawing>
          <wp:inline distT="0" distB="0" distL="0" distR="0">
            <wp:extent cx="7905750" cy="38576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0" cy="3857625"/>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B1395E" w:rsidRDefault="003869C4" w:rsidP="003869C4">
      <w:pPr>
        <w:jc w:val="right"/>
        <w:rPr>
          <w:noProof/>
          <w:sz w:val="18"/>
          <w:szCs w:val="18"/>
          <w:lang w:eastAsia="es-MX"/>
        </w:rPr>
      </w:pPr>
      <w:r w:rsidRPr="003869C4">
        <w:rPr>
          <w:b/>
          <w:noProof/>
          <w:sz w:val="18"/>
          <w:szCs w:val="18"/>
          <w:lang w:eastAsia="es-MX"/>
        </w:rPr>
        <w:t>7/11</w:t>
      </w:r>
      <w:r w:rsidR="00B1395E">
        <w:rPr>
          <w:noProof/>
          <w:sz w:val="18"/>
          <w:szCs w:val="18"/>
          <w:lang w:eastAsia="es-MX"/>
        </w:rPr>
        <w:br w:type="page"/>
      </w:r>
      <w:r w:rsidR="007C7699">
        <w:rPr>
          <w:noProof/>
          <w:sz w:val="18"/>
          <w:szCs w:val="18"/>
          <w:lang w:eastAsia="es-MX"/>
        </w:rPr>
        <w:lastRenderedPageBreak/>
        <w:drawing>
          <wp:inline distT="0" distB="0" distL="0" distR="0">
            <wp:extent cx="4962525" cy="2771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2771775"/>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B1395E" w:rsidRDefault="003869C4" w:rsidP="003869C4">
      <w:pPr>
        <w:jc w:val="right"/>
        <w:rPr>
          <w:noProof/>
          <w:sz w:val="18"/>
          <w:szCs w:val="18"/>
          <w:lang w:eastAsia="es-MX"/>
        </w:rPr>
      </w:pPr>
      <w:r w:rsidRPr="003869C4">
        <w:rPr>
          <w:b/>
          <w:noProof/>
          <w:sz w:val="18"/>
          <w:szCs w:val="18"/>
          <w:lang w:eastAsia="es-MX"/>
        </w:rPr>
        <w:t>8/11</w:t>
      </w:r>
      <w:r w:rsidR="00B1395E">
        <w:rPr>
          <w:noProof/>
          <w:sz w:val="18"/>
          <w:szCs w:val="18"/>
          <w:lang w:eastAsia="es-MX"/>
        </w:rPr>
        <w:br w:type="page"/>
      </w:r>
      <w:r w:rsidR="007C7699">
        <w:rPr>
          <w:noProof/>
          <w:sz w:val="18"/>
          <w:szCs w:val="18"/>
          <w:lang w:eastAsia="es-MX"/>
        </w:rPr>
        <w:lastRenderedPageBreak/>
        <w:drawing>
          <wp:inline distT="0" distB="0" distL="0" distR="0">
            <wp:extent cx="8258175" cy="3648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8175" cy="3648075"/>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3869C4">
      <w:pPr>
        <w:jc w:val="right"/>
        <w:rPr>
          <w:noProof/>
          <w:sz w:val="18"/>
          <w:szCs w:val="18"/>
          <w:lang w:eastAsia="es-MX"/>
        </w:rPr>
      </w:pPr>
      <w:r>
        <w:rPr>
          <w:b/>
          <w:noProof/>
          <w:sz w:val="18"/>
          <w:szCs w:val="18"/>
          <w:lang w:eastAsia="es-MX"/>
        </w:rPr>
        <w:t>9/11</w:t>
      </w:r>
      <w:r w:rsidR="00B1395E">
        <w:rPr>
          <w:noProof/>
          <w:sz w:val="18"/>
          <w:szCs w:val="18"/>
          <w:lang w:eastAsia="es-MX"/>
        </w:rPr>
        <w:br w:type="page"/>
      </w:r>
      <w:r w:rsidR="007C7699">
        <w:rPr>
          <w:noProof/>
          <w:sz w:val="18"/>
          <w:szCs w:val="18"/>
          <w:lang w:eastAsia="es-MX"/>
        </w:rPr>
        <w:lastRenderedPageBreak/>
        <w:drawing>
          <wp:inline distT="0" distB="0" distL="0" distR="0">
            <wp:extent cx="8258175" cy="4410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8175" cy="4410075"/>
                    </a:xfrm>
                    <a:prstGeom prst="rect">
                      <a:avLst/>
                    </a:prstGeom>
                    <a:noFill/>
                    <a:ln>
                      <a:noFill/>
                    </a:ln>
                  </pic:spPr>
                </pic:pic>
              </a:graphicData>
            </a:graphic>
          </wp:inline>
        </w:drawing>
      </w:r>
    </w:p>
    <w:p w:rsidR="003869C4" w:rsidRDefault="003869C4" w:rsidP="003869C4">
      <w:pPr>
        <w:rPr>
          <w:noProof/>
          <w:sz w:val="18"/>
          <w:szCs w:val="18"/>
          <w:lang w:eastAsia="es-MX"/>
        </w:rPr>
      </w:pPr>
    </w:p>
    <w:p w:rsidR="003869C4" w:rsidRDefault="003869C4" w:rsidP="003869C4">
      <w:pPr>
        <w:rPr>
          <w:noProof/>
          <w:sz w:val="18"/>
          <w:szCs w:val="18"/>
          <w:lang w:eastAsia="es-MX"/>
        </w:rPr>
      </w:pPr>
    </w:p>
    <w:p w:rsidR="00B1395E" w:rsidRDefault="003869C4" w:rsidP="003869C4">
      <w:pPr>
        <w:jc w:val="right"/>
        <w:rPr>
          <w:noProof/>
          <w:sz w:val="18"/>
          <w:szCs w:val="18"/>
          <w:lang w:eastAsia="es-MX"/>
        </w:rPr>
      </w:pPr>
      <w:r>
        <w:rPr>
          <w:b/>
          <w:noProof/>
          <w:sz w:val="18"/>
          <w:szCs w:val="18"/>
          <w:lang w:eastAsia="es-MX"/>
        </w:rPr>
        <w:t>10/11</w:t>
      </w:r>
      <w:r w:rsidR="00B1395E">
        <w:rPr>
          <w:noProof/>
          <w:sz w:val="18"/>
          <w:szCs w:val="18"/>
          <w:lang w:eastAsia="es-MX"/>
        </w:rPr>
        <w:br w:type="page"/>
      </w:r>
      <w:r w:rsidR="007C7699">
        <w:rPr>
          <w:noProof/>
          <w:sz w:val="18"/>
          <w:szCs w:val="18"/>
          <w:lang w:eastAsia="es-MX"/>
        </w:rPr>
        <w:lastRenderedPageBreak/>
        <w:drawing>
          <wp:inline distT="0" distB="0" distL="0" distR="0">
            <wp:extent cx="5915025" cy="4400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4400550"/>
                    </a:xfrm>
                    <a:prstGeom prst="rect">
                      <a:avLst/>
                    </a:prstGeom>
                    <a:noFill/>
                    <a:ln>
                      <a:noFill/>
                    </a:ln>
                  </pic:spPr>
                </pic:pic>
              </a:graphicData>
            </a:graphic>
          </wp:inline>
        </w:drawing>
      </w:r>
    </w:p>
    <w:p w:rsidR="00A05C4D" w:rsidRPr="005C7E77" w:rsidRDefault="00A05C4D" w:rsidP="00A05C4D">
      <w:pPr>
        <w:rPr>
          <w:sz w:val="18"/>
          <w:szCs w:val="18"/>
        </w:rPr>
      </w:pPr>
    </w:p>
    <w:p w:rsidR="00A05C4D" w:rsidRPr="003869C4" w:rsidRDefault="003869C4" w:rsidP="003869C4">
      <w:pPr>
        <w:jc w:val="right"/>
        <w:rPr>
          <w:b/>
          <w:sz w:val="18"/>
          <w:szCs w:val="18"/>
        </w:rPr>
      </w:pPr>
      <w:r w:rsidRPr="003869C4">
        <w:rPr>
          <w:b/>
          <w:sz w:val="18"/>
          <w:szCs w:val="18"/>
        </w:rPr>
        <w:t>11/11</w:t>
      </w:r>
    </w:p>
    <w:p w:rsidR="00A05C4D" w:rsidRDefault="00A05C4D" w:rsidP="00A05C4D">
      <w:pPr>
        <w:jc w:val="both"/>
        <w:rPr>
          <w:rFonts w:ascii="Arial" w:hAnsi="Arial" w:cs="Arial"/>
          <w:b/>
          <w:sz w:val="18"/>
          <w:szCs w:val="18"/>
        </w:rPr>
      </w:pPr>
    </w:p>
    <w:p w:rsidR="002B71BB" w:rsidRDefault="002B71BB" w:rsidP="00A05C4D">
      <w:pPr>
        <w:jc w:val="both"/>
        <w:rPr>
          <w:rFonts w:ascii="Arial" w:hAnsi="Arial" w:cs="Arial"/>
          <w:b/>
          <w:sz w:val="18"/>
          <w:szCs w:val="18"/>
        </w:rPr>
      </w:pPr>
    </w:p>
    <w:p w:rsidR="002B71BB" w:rsidRDefault="002B71BB" w:rsidP="00A05C4D">
      <w:pPr>
        <w:jc w:val="both"/>
        <w:rPr>
          <w:rFonts w:ascii="Arial" w:hAnsi="Arial" w:cs="Arial"/>
          <w:b/>
          <w:sz w:val="18"/>
          <w:szCs w:val="18"/>
        </w:rPr>
      </w:pPr>
    </w:p>
    <w:p w:rsidR="002B71BB" w:rsidRPr="003869C4" w:rsidRDefault="007C7699" w:rsidP="002613F8">
      <w:pPr>
        <w:rPr>
          <w:rFonts w:ascii="Arial" w:hAnsi="Arial" w:cs="Arial"/>
          <w:b/>
          <w:sz w:val="18"/>
          <w:szCs w:val="18"/>
        </w:rPr>
      </w:pPr>
      <w:r>
        <w:rPr>
          <w:rFonts w:ascii="Arial" w:hAnsi="Arial" w:cs="Arial"/>
          <w:b/>
          <w:noProof/>
          <w:sz w:val="18"/>
          <w:szCs w:val="18"/>
          <w:lang w:eastAsia="es-MX"/>
        </w:rPr>
        <w:lastRenderedPageBreak/>
        <w:drawing>
          <wp:inline distT="0" distB="0" distL="0" distR="0">
            <wp:extent cx="8248650" cy="40671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48650" cy="4067175"/>
                    </a:xfrm>
                    <a:prstGeom prst="rect">
                      <a:avLst/>
                    </a:prstGeom>
                    <a:noFill/>
                    <a:ln>
                      <a:noFill/>
                    </a:ln>
                  </pic:spPr>
                </pic:pic>
              </a:graphicData>
            </a:graphic>
          </wp:inline>
        </w:drawing>
      </w: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7C7699" w:rsidP="00BD6950">
      <w:pPr>
        <w:jc w:val="center"/>
        <w:rPr>
          <w:rFonts w:ascii="Arial" w:hAnsi="Arial" w:cs="Arial"/>
          <w:sz w:val="18"/>
          <w:szCs w:val="18"/>
        </w:rPr>
      </w:pPr>
      <w:r w:rsidRPr="005C7E77">
        <w:rPr>
          <w:rFonts w:ascii="Arial" w:hAnsi="Arial" w:cs="Arial"/>
          <w:noProof/>
          <w:sz w:val="18"/>
          <w:szCs w:val="18"/>
          <w:lang w:eastAsia="es-MX"/>
        </w:rPr>
        <w:lastRenderedPageBreak/>
        <w:drawing>
          <wp:inline distT="0" distB="0" distL="0" distR="0">
            <wp:extent cx="7000875" cy="4048125"/>
            <wp:effectExtent l="0" t="0" r="9525" b="9525"/>
            <wp:docPr id="1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7C7699" w:rsidP="00BD6950">
      <w:pPr>
        <w:jc w:val="center"/>
        <w:rPr>
          <w:rFonts w:ascii="Arial" w:hAnsi="Arial" w:cs="Arial"/>
          <w:sz w:val="18"/>
          <w:szCs w:val="18"/>
        </w:rPr>
      </w:pPr>
      <w:r w:rsidRPr="005C7E77">
        <w:rPr>
          <w:rFonts w:ascii="Arial" w:hAnsi="Arial" w:cs="Arial"/>
          <w:noProof/>
          <w:sz w:val="18"/>
          <w:szCs w:val="18"/>
          <w:lang w:eastAsia="es-MX"/>
        </w:rPr>
        <w:lastRenderedPageBreak/>
        <w:drawing>
          <wp:inline distT="0" distB="0" distL="0" distR="0">
            <wp:extent cx="6981825" cy="4219575"/>
            <wp:effectExtent l="0" t="0" r="9525" b="9525"/>
            <wp:docPr id="1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7C7699" w:rsidP="00BD6950">
      <w:pPr>
        <w:jc w:val="center"/>
        <w:rPr>
          <w:rFonts w:ascii="Arial" w:hAnsi="Arial" w:cs="Arial"/>
          <w:sz w:val="18"/>
          <w:szCs w:val="18"/>
        </w:rPr>
      </w:pPr>
      <w:r w:rsidRPr="005C7E77">
        <w:rPr>
          <w:rFonts w:ascii="Arial" w:hAnsi="Arial" w:cs="Arial"/>
          <w:noProof/>
          <w:sz w:val="18"/>
          <w:szCs w:val="18"/>
          <w:lang w:eastAsia="es-MX"/>
        </w:rPr>
        <w:lastRenderedPageBreak/>
        <w:drawing>
          <wp:inline distT="0" distB="0" distL="0" distR="0">
            <wp:extent cx="7058025" cy="4248150"/>
            <wp:effectExtent l="0" t="0" r="9525" b="0"/>
            <wp:docPr id="1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0C4412" w:rsidRPr="005C7E77" w:rsidRDefault="000C4412" w:rsidP="00B057F9">
      <w:pPr>
        <w:spacing w:line="240" w:lineRule="auto"/>
        <w:jc w:val="both"/>
        <w:rPr>
          <w:rFonts w:ascii="Arial" w:hAnsi="Arial" w:cs="Arial"/>
          <w:sz w:val="18"/>
          <w:szCs w:val="18"/>
        </w:rPr>
      </w:pPr>
    </w:p>
    <w:p w:rsidR="00B057F9" w:rsidRPr="005C7E77" w:rsidRDefault="000C4412" w:rsidP="00B057F9">
      <w:pPr>
        <w:spacing w:line="240" w:lineRule="auto"/>
        <w:jc w:val="both"/>
        <w:rPr>
          <w:rFonts w:ascii="Arial" w:hAnsi="Arial" w:cs="Arial"/>
          <w:sz w:val="18"/>
          <w:szCs w:val="18"/>
        </w:rPr>
      </w:pPr>
      <w:r w:rsidRPr="005C7E77">
        <w:rPr>
          <w:rFonts w:ascii="Arial" w:hAnsi="Arial" w:cs="Arial"/>
          <w:sz w:val="18"/>
          <w:szCs w:val="18"/>
        </w:rPr>
        <w:t>Bajo Protesta de decir verdad que los Estados Financieros y sus notas, son razonablemente correctos y responsabilidad del emisor.</w:t>
      </w:r>
    </w:p>
    <w:p w:rsidR="000C4412" w:rsidRPr="005C7E77" w:rsidRDefault="000C4412" w:rsidP="00B057F9">
      <w:pPr>
        <w:spacing w:line="240" w:lineRule="auto"/>
        <w:jc w:val="both"/>
        <w:rPr>
          <w:rFonts w:ascii="Arial" w:hAnsi="Arial" w:cs="Arial"/>
          <w:sz w:val="18"/>
          <w:szCs w:val="18"/>
        </w:rPr>
      </w:pPr>
    </w:p>
    <w:p w:rsidR="000C4412" w:rsidRPr="005C7E77" w:rsidRDefault="000C4412" w:rsidP="00B057F9">
      <w:pPr>
        <w:spacing w:line="240" w:lineRule="auto"/>
        <w:jc w:val="both"/>
        <w:rPr>
          <w:rFonts w:ascii="Arial" w:hAnsi="Arial" w:cs="Arial"/>
          <w:sz w:val="18"/>
          <w:szCs w:val="18"/>
        </w:rPr>
      </w:pPr>
    </w:p>
    <w:p w:rsidR="0051592E" w:rsidRPr="005C7E77" w:rsidRDefault="0051592E" w:rsidP="00B057F9">
      <w:pPr>
        <w:spacing w:after="0" w:line="240" w:lineRule="auto"/>
        <w:rPr>
          <w:rFonts w:ascii="Arial" w:hAnsi="Arial" w:cs="Arial"/>
          <w:sz w:val="18"/>
          <w:szCs w:val="18"/>
        </w:rPr>
      </w:pPr>
      <w:r w:rsidRPr="005C7E77">
        <w:rPr>
          <w:rFonts w:ascii="Arial" w:hAnsi="Arial" w:cs="Arial"/>
          <w:sz w:val="18"/>
          <w:szCs w:val="18"/>
        </w:rPr>
        <w:t xml:space="preserve">                  Fernando Gutiérrez Godínez                                                                                                                  Loth Mariano Pérez Camacho    </w:t>
      </w:r>
    </w:p>
    <w:p w:rsidR="000B7810" w:rsidRPr="00DF41A4" w:rsidRDefault="0051592E" w:rsidP="00DF41A4">
      <w:pPr>
        <w:spacing w:after="0" w:line="240" w:lineRule="auto"/>
        <w:rPr>
          <w:rFonts w:ascii="Arial" w:hAnsi="Arial" w:cs="Arial"/>
          <w:sz w:val="18"/>
          <w:szCs w:val="18"/>
        </w:rPr>
      </w:pPr>
      <w:r w:rsidRPr="005C7E77">
        <w:rPr>
          <w:rFonts w:ascii="Arial" w:hAnsi="Arial" w:cs="Arial"/>
          <w:sz w:val="18"/>
          <w:szCs w:val="18"/>
        </w:rPr>
        <w:t xml:space="preserve">                                   Rector                                                                                                                              Director de Administración y Finanzas</w:t>
      </w:r>
    </w:p>
    <w:sectPr w:rsidR="000B7810" w:rsidRPr="00DF41A4" w:rsidSect="00B548B6">
      <w:headerReference w:type="default" r:id="rId24"/>
      <w:pgSz w:w="15840" w:h="12240" w:orient="landscape"/>
      <w:pgMar w:top="13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84" w:rsidRDefault="00CD2F84" w:rsidP="00E00323">
      <w:pPr>
        <w:spacing w:after="0" w:line="240" w:lineRule="auto"/>
      </w:pPr>
      <w:r>
        <w:separator/>
      </w:r>
    </w:p>
  </w:endnote>
  <w:endnote w:type="continuationSeparator" w:id="0">
    <w:p w:rsidR="00CD2F84" w:rsidRDefault="00CD2F8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84" w:rsidRDefault="00CD2F84" w:rsidP="00E00323">
      <w:pPr>
        <w:spacing w:after="0" w:line="240" w:lineRule="auto"/>
      </w:pPr>
      <w:r>
        <w:separator/>
      </w:r>
    </w:p>
  </w:footnote>
  <w:footnote w:type="continuationSeparator" w:id="0">
    <w:p w:rsidR="00CD2F84" w:rsidRDefault="00CD2F8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2E" w:rsidRPr="00E276E1" w:rsidRDefault="0051592E" w:rsidP="00E276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03E"/>
    <w:rsid w:val="00050D3B"/>
    <w:rsid w:val="000512B4"/>
    <w:rsid w:val="0006302F"/>
    <w:rsid w:val="00075CC7"/>
    <w:rsid w:val="000A3B9A"/>
    <w:rsid w:val="000B7810"/>
    <w:rsid w:val="000C4412"/>
    <w:rsid w:val="000E3685"/>
    <w:rsid w:val="0011208E"/>
    <w:rsid w:val="00127B1A"/>
    <w:rsid w:val="00142072"/>
    <w:rsid w:val="00154BA3"/>
    <w:rsid w:val="00172438"/>
    <w:rsid w:val="00181AEE"/>
    <w:rsid w:val="00194A72"/>
    <w:rsid w:val="001B3BE7"/>
    <w:rsid w:val="001C75F2"/>
    <w:rsid w:val="001D2063"/>
    <w:rsid w:val="001F103D"/>
    <w:rsid w:val="001F5230"/>
    <w:rsid w:val="002347C2"/>
    <w:rsid w:val="002613F8"/>
    <w:rsid w:val="002A3C0B"/>
    <w:rsid w:val="002B71BB"/>
    <w:rsid w:val="002F0524"/>
    <w:rsid w:val="003869C4"/>
    <w:rsid w:val="00393D16"/>
    <w:rsid w:val="0039574A"/>
    <w:rsid w:val="003A3AE7"/>
    <w:rsid w:val="003D4F7C"/>
    <w:rsid w:val="003F4389"/>
    <w:rsid w:val="00411718"/>
    <w:rsid w:val="004148BD"/>
    <w:rsid w:val="0041562F"/>
    <w:rsid w:val="0041696B"/>
    <w:rsid w:val="00446C6B"/>
    <w:rsid w:val="00494DBD"/>
    <w:rsid w:val="004D0F3C"/>
    <w:rsid w:val="004D2127"/>
    <w:rsid w:val="004F6298"/>
    <w:rsid w:val="0051592E"/>
    <w:rsid w:val="00535C37"/>
    <w:rsid w:val="00545F69"/>
    <w:rsid w:val="00563AE9"/>
    <w:rsid w:val="00573CB5"/>
    <w:rsid w:val="005B1022"/>
    <w:rsid w:val="005C7E77"/>
    <w:rsid w:val="005D3E43"/>
    <w:rsid w:val="005D662E"/>
    <w:rsid w:val="005E231E"/>
    <w:rsid w:val="005F6836"/>
    <w:rsid w:val="00637FB4"/>
    <w:rsid w:val="00681C79"/>
    <w:rsid w:val="006D6412"/>
    <w:rsid w:val="00713DCE"/>
    <w:rsid w:val="007761BA"/>
    <w:rsid w:val="00792F67"/>
    <w:rsid w:val="00794514"/>
    <w:rsid w:val="00796CB8"/>
    <w:rsid w:val="007C11D1"/>
    <w:rsid w:val="007C7699"/>
    <w:rsid w:val="007D1E76"/>
    <w:rsid w:val="00805E62"/>
    <w:rsid w:val="00806F79"/>
    <w:rsid w:val="00840080"/>
    <w:rsid w:val="00881132"/>
    <w:rsid w:val="00883146"/>
    <w:rsid w:val="00890067"/>
    <w:rsid w:val="008E076C"/>
    <w:rsid w:val="00901D3C"/>
    <w:rsid w:val="0093754A"/>
    <w:rsid w:val="00A05C4D"/>
    <w:rsid w:val="00AA2C8C"/>
    <w:rsid w:val="00AB129B"/>
    <w:rsid w:val="00B04098"/>
    <w:rsid w:val="00B057F9"/>
    <w:rsid w:val="00B05FC0"/>
    <w:rsid w:val="00B1253A"/>
    <w:rsid w:val="00B1395E"/>
    <w:rsid w:val="00B163CB"/>
    <w:rsid w:val="00B1711C"/>
    <w:rsid w:val="00B415DF"/>
    <w:rsid w:val="00B53D33"/>
    <w:rsid w:val="00B5418C"/>
    <w:rsid w:val="00B548B6"/>
    <w:rsid w:val="00BA30CF"/>
    <w:rsid w:val="00BD6487"/>
    <w:rsid w:val="00BD6950"/>
    <w:rsid w:val="00C16E1D"/>
    <w:rsid w:val="00C262DF"/>
    <w:rsid w:val="00C4437B"/>
    <w:rsid w:val="00C75EBB"/>
    <w:rsid w:val="00CA6264"/>
    <w:rsid w:val="00CD2F84"/>
    <w:rsid w:val="00D00D14"/>
    <w:rsid w:val="00D06C5A"/>
    <w:rsid w:val="00D21345"/>
    <w:rsid w:val="00D427AE"/>
    <w:rsid w:val="00D807F1"/>
    <w:rsid w:val="00DB4E0D"/>
    <w:rsid w:val="00DF41A4"/>
    <w:rsid w:val="00E00323"/>
    <w:rsid w:val="00E23CAD"/>
    <w:rsid w:val="00E276E1"/>
    <w:rsid w:val="00E66BEE"/>
    <w:rsid w:val="00E837A5"/>
    <w:rsid w:val="00EA0F41"/>
    <w:rsid w:val="00EA7915"/>
    <w:rsid w:val="00F1335D"/>
    <w:rsid w:val="00F259F3"/>
    <w:rsid w:val="00F5389C"/>
    <w:rsid w:val="00F66670"/>
    <w:rsid w:val="00F66992"/>
    <w:rsid w:val="00F70A88"/>
    <w:rsid w:val="00FB599E"/>
    <w:rsid w:val="00FD077D"/>
    <w:rsid w:val="00FD3359"/>
    <w:rsid w:val="00FF2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44CACD-8227-4940-A6A6-7B9A922E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qFormat/>
    <w:rsid w:val="00A05C4D"/>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A05C4D"/>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rsid w:val="00A05C4D"/>
    <w:rPr>
      <w:rFonts w:ascii="Arial" w:eastAsia="Times New Roman" w:hAnsi="Arial" w:cs="Arial"/>
      <w:b/>
      <w:bCs/>
      <w:szCs w:val="24"/>
      <w:lang w:val="es-ES" w:eastAsia="es-ES"/>
    </w:rPr>
  </w:style>
  <w:style w:type="character" w:customStyle="1" w:styleId="Ttulo4Car">
    <w:name w:val="Título 4 Car"/>
    <w:link w:val="Ttulo4"/>
    <w:rsid w:val="00A05C4D"/>
    <w:rPr>
      <w:rFonts w:ascii="Arial" w:eastAsia="Times New Roman" w:hAnsi="Arial"/>
      <w:b/>
      <w:sz w:val="18"/>
      <w:szCs w:val="24"/>
      <w:lang w:eastAsia="es-ES"/>
    </w:rPr>
  </w:style>
  <w:style w:type="paragraph" w:customStyle="1" w:styleId="NormalArial">
    <w:name w:val="Normal + Arial"/>
    <w:basedOn w:val="Normal"/>
    <w:rsid w:val="00A05C4D"/>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614E-6857-4953-B921-04A8F447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3667</Words>
  <Characters>20169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2015-05-06T14:41:00Z</cp:lastPrinted>
  <dcterms:created xsi:type="dcterms:W3CDTF">2017-07-03T21:25:00Z</dcterms:created>
  <dcterms:modified xsi:type="dcterms:W3CDTF">2017-07-03T21:25:00Z</dcterms:modified>
</cp:coreProperties>
</file>